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552"/>
        <w:gridCol w:w="1832"/>
      </w:tblGrid>
      <w:tr w:rsidR="00595C64" w:rsidRPr="00FA7A40" w14:paraId="15ED676D" w14:textId="77777777" w:rsidTr="001E70A9">
        <w:trPr>
          <w:trHeight w:val="992"/>
          <w:jc w:val="center"/>
        </w:trPr>
        <w:tc>
          <w:tcPr>
            <w:tcW w:w="4678" w:type="dxa"/>
            <w:vAlign w:val="center"/>
          </w:tcPr>
          <w:p w14:paraId="3E4001A3" w14:textId="77777777" w:rsidR="00595C64" w:rsidRPr="00FA7A40" w:rsidRDefault="00595C64">
            <w:pPr>
              <w:contextualSpacing/>
              <w:rPr>
                <w:rFonts w:ascii="Times New Roman" w:hAnsi="Times New Roman" w:cs="Times New Roman"/>
              </w:rPr>
            </w:pPr>
            <w:r>
              <w:rPr>
                <w:rFonts w:ascii="Times New Roman" w:hAnsi="Times New Roman" w:cs="Times New Roman"/>
                <w:noProof/>
                <w:lang w:eastAsia="tr-TR"/>
              </w:rPr>
              <w:drawing>
                <wp:inline distT="0" distB="0" distL="0" distR="0" wp14:anchorId="4FA586BB" wp14:editId="1C2E8E60">
                  <wp:extent cx="1899138" cy="520065"/>
                  <wp:effectExtent l="0" t="0" r="6350" b="0"/>
                  <wp:docPr id="5"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rleşik logo (1).png"/>
                          <pic:cNvPicPr/>
                        </pic:nvPicPr>
                        <pic:blipFill rotWithShape="1">
                          <a:blip r:embed="rId8" cstate="print">
                            <a:extLst>
                              <a:ext uri="{28A0092B-C50C-407E-A947-70E740481C1C}">
                                <a14:useLocalDpi xmlns:a14="http://schemas.microsoft.com/office/drawing/2010/main" val="0"/>
                              </a:ext>
                            </a:extLst>
                          </a:blip>
                          <a:srcRect l="45505" t="-4857" r="357"/>
                          <a:stretch/>
                        </pic:blipFill>
                        <pic:spPr bwMode="auto">
                          <a:xfrm>
                            <a:off x="0" y="0"/>
                            <a:ext cx="1950898" cy="53423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552" w:type="dxa"/>
            <w:vAlign w:val="center"/>
          </w:tcPr>
          <w:p w14:paraId="388B9AC3" w14:textId="77777777" w:rsidR="00595C64" w:rsidRPr="00FA7A40" w:rsidRDefault="00595C64">
            <w:pPr>
              <w:contextualSpacing/>
              <w:jc w:val="right"/>
              <w:rPr>
                <w:rFonts w:ascii="Times New Roman" w:hAnsi="Times New Roman" w:cs="Times New Roman"/>
                <w:b/>
                <w:i/>
              </w:rPr>
            </w:pPr>
            <w:r>
              <w:rPr>
                <w:rFonts w:ascii="Times New Roman" w:hAnsi="Times New Roman" w:cs="Times New Roman"/>
                <w:noProof/>
                <w:lang w:eastAsia="tr-TR"/>
              </w:rPr>
              <w:drawing>
                <wp:inline distT="0" distB="0" distL="0" distR="0" wp14:anchorId="4118B591" wp14:editId="00DCF2AF">
                  <wp:extent cx="824611" cy="327660"/>
                  <wp:effectExtent l="0" t="0" r="0" b="0"/>
                  <wp:docPr id="10" name="Resim 3" descr="https://www.avrasyatuneli.com/_assets/img/basin-odasi/logolar/jpg/aygm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s://www.avrasyatuneli.com/_assets/img/basin-odasi/logolar/jpg/aygmBi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1570" cy="330425"/>
                          </a:xfrm>
                          <a:prstGeom prst="rect">
                            <a:avLst/>
                          </a:prstGeom>
                          <a:noFill/>
                          <a:ln>
                            <a:noFill/>
                          </a:ln>
                        </pic:spPr>
                      </pic:pic>
                    </a:graphicData>
                  </a:graphic>
                </wp:inline>
              </w:drawing>
            </w:r>
          </w:p>
        </w:tc>
        <w:tc>
          <w:tcPr>
            <w:tcW w:w="1832" w:type="dxa"/>
            <w:vAlign w:val="center"/>
          </w:tcPr>
          <w:p w14:paraId="5EBD0ECB" w14:textId="77777777" w:rsidR="00595C64" w:rsidRPr="00FA7A40" w:rsidRDefault="00595C64">
            <w:pPr>
              <w:contextualSpacing/>
              <w:jc w:val="right"/>
              <w:rPr>
                <w:rFonts w:ascii="Times New Roman" w:hAnsi="Times New Roman" w:cs="Times New Roman"/>
                <w:b/>
                <w:i/>
              </w:rPr>
            </w:pPr>
            <w:r>
              <w:rPr>
                <w:rFonts w:ascii="Times New Roman" w:hAnsi="Times New Roman" w:cs="Times New Roman"/>
                <w:noProof/>
                <w:lang w:eastAsia="tr-TR"/>
              </w:rPr>
              <w:drawing>
                <wp:inline distT="0" distB="0" distL="0" distR="0" wp14:anchorId="7E6D3216" wp14:editId="4CAC1636">
                  <wp:extent cx="1022351" cy="321310"/>
                  <wp:effectExtent l="0" t="0" r="6350" b="2540"/>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7897" cy="323053"/>
                          </a:xfrm>
                          <a:prstGeom prst="rect">
                            <a:avLst/>
                          </a:prstGeom>
                          <a:noFill/>
                          <a:ln>
                            <a:noFill/>
                          </a:ln>
                        </pic:spPr>
                      </pic:pic>
                    </a:graphicData>
                  </a:graphic>
                </wp:inline>
              </w:drawing>
            </w:r>
          </w:p>
        </w:tc>
      </w:tr>
    </w:tbl>
    <w:p w14:paraId="27D8E87C" w14:textId="0A58B4A4" w:rsidR="00F72E1E" w:rsidRPr="00FA7A40" w:rsidRDefault="00F72E1E" w:rsidP="00F72E1E">
      <w:pPr>
        <w:spacing w:after="120"/>
        <w:jc w:val="center"/>
        <w:rPr>
          <w:rFonts w:ascii="Times New Roman" w:hAnsi="Times New Roman" w:cs="Times New Roman"/>
          <w:b/>
          <w:bCs/>
          <w:sz w:val="22"/>
          <w:szCs w:val="22"/>
          <w:lang w:val="en-US"/>
        </w:rPr>
      </w:pPr>
    </w:p>
    <w:p w14:paraId="0816A1B1" w14:textId="6745B9EC" w:rsidR="00595C64" w:rsidRPr="00FA7A40" w:rsidRDefault="00595C64" w:rsidP="00F72E1E">
      <w:pPr>
        <w:spacing w:after="120"/>
        <w:jc w:val="center"/>
        <w:rPr>
          <w:rFonts w:ascii="Times New Roman" w:hAnsi="Times New Roman" w:cs="Times New Roman"/>
          <w:b/>
          <w:bCs/>
          <w:sz w:val="22"/>
          <w:szCs w:val="22"/>
          <w:lang w:val="en-US"/>
        </w:rPr>
      </w:pPr>
    </w:p>
    <w:p w14:paraId="78FA7C88" w14:textId="77777777" w:rsidR="00595C64" w:rsidRDefault="00595C64" w:rsidP="00F72E1E">
      <w:pPr>
        <w:spacing w:after="120"/>
        <w:jc w:val="center"/>
        <w:rPr>
          <w:rFonts w:ascii="Times New Roman" w:hAnsi="Times New Roman" w:cs="Times New Roman"/>
          <w:b/>
          <w:bCs/>
          <w:sz w:val="22"/>
          <w:szCs w:val="22"/>
          <w:lang w:val="en-US"/>
        </w:rPr>
      </w:pPr>
    </w:p>
    <w:p w14:paraId="5D1C3AF9" w14:textId="77777777" w:rsidR="00C66D8A" w:rsidRDefault="00C66D8A" w:rsidP="00F72E1E">
      <w:pPr>
        <w:spacing w:after="120"/>
        <w:jc w:val="center"/>
        <w:rPr>
          <w:rFonts w:ascii="Times New Roman" w:hAnsi="Times New Roman" w:cs="Times New Roman"/>
          <w:b/>
          <w:bCs/>
          <w:sz w:val="22"/>
          <w:szCs w:val="22"/>
          <w:lang w:val="en-US"/>
        </w:rPr>
      </w:pPr>
    </w:p>
    <w:p w14:paraId="2AECEEB7" w14:textId="77777777" w:rsidR="00C66D8A" w:rsidRDefault="00C66D8A" w:rsidP="00F72E1E">
      <w:pPr>
        <w:spacing w:after="120"/>
        <w:jc w:val="center"/>
        <w:rPr>
          <w:rFonts w:ascii="Times New Roman" w:hAnsi="Times New Roman" w:cs="Times New Roman"/>
          <w:b/>
          <w:bCs/>
          <w:sz w:val="22"/>
          <w:szCs w:val="22"/>
          <w:lang w:val="en-US"/>
        </w:rPr>
      </w:pPr>
    </w:p>
    <w:p w14:paraId="24C7485E" w14:textId="77777777" w:rsidR="00C66D8A" w:rsidRDefault="00C66D8A" w:rsidP="00F72E1E">
      <w:pPr>
        <w:spacing w:after="120"/>
        <w:jc w:val="center"/>
        <w:rPr>
          <w:rFonts w:ascii="Times New Roman" w:hAnsi="Times New Roman" w:cs="Times New Roman"/>
          <w:b/>
          <w:bCs/>
          <w:sz w:val="22"/>
          <w:szCs w:val="22"/>
          <w:lang w:val="en-US"/>
        </w:rPr>
      </w:pPr>
    </w:p>
    <w:p w14:paraId="2A96C7C9" w14:textId="77777777" w:rsidR="00C66D8A" w:rsidRDefault="00C66D8A" w:rsidP="00F72E1E">
      <w:pPr>
        <w:spacing w:after="120"/>
        <w:jc w:val="center"/>
        <w:rPr>
          <w:rFonts w:ascii="Times New Roman" w:hAnsi="Times New Roman" w:cs="Times New Roman"/>
          <w:b/>
          <w:bCs/>
          <w:sz w:val="22"/>
          <w:szCs w:val="22"/>
          <w:lang w:val="en-US"/>
        </w:rPr>
      </w:pPr>
    </w:p>
    <w:p w14:paraId="10BCB094" w14:textId="77777777" w:rsidR="00C66D8A" w:rsidRPr="00FA7A40" w:rsidRDefault="00C66D8A" w:rsidP="00F72E1E">
      <w:pPr>
        <w:spacing w:after="120"/>
        <w:jc w:val="center"/>
        <w:rPr>
          <w:rFonts w:ascii="Times New Roman" w:hAnsi="Times New Roman" w:cs="Times New Roman"/>
          <w:b/>
          <w:bCs/>
          <w:sz w:val="22"/>
          <w:szCs w:val="22"/>
          <w:lang w:val="en-US"/>
        </w:rPr>
      </w:pPr>
    </w:p>
    <w:p w14:paraId="1B2905F4" w14:textId="5E398932" w:rsidR="00595C64" w:rsidRPr="00FA7A40" w:rsidRDefault="009D4B8B" w:rsidP="00DE426F">
      <w:pPr>
        <w:spacing w:after="120"/>
        <w:jc w:val="center"/>
        <w:rPr>
          <w:rFonts w:ascii="Times New Roman" w:hAnsi="Times New Roman" w:cs="Times New Roman"/>
          <w:b/>
          <w:bCs/>
          <w:sz w:val="52"/>
          <w:szCs w:val="52"/>
          <w:lang w:val="en-US"/>
        </w:rPr>
      </w:pPr>
      <w:r>
        <w:rPr>
          <w:rFonts w:ascii="Times New Roman" w:hAnsi="Times New Roman" w:cs="Times New Roman"/>
          <w:b/>
          <w:bCs/>
          <w:sz w:val="28"/>
          <w:szCs w:val="28"/>
          <w:lang w:val="en-US"/>
        </w:rPr>
        <w:t xml:space="preserve"> </w:t>
      </w:r>
      <w:r>
        <w:rPr>
          <w:rFonts w:ascii="Times New Roman" w:hAnsi="Times New Roman" w:cs="Times New Roman"/>
          <w:b/>
          <w:bCs/>
          <w:sz w:val="52"/>
          <w:szCs w:val="52"/>
          <w:lang w:val="en-US"/>
        </w:rPr>
        <w:t xml:space="preserve">İstanbul Kuzey Demiryolu Geçişi Projesi (INRAIL)</w:t>
      </w:r>
    </w:p>
    <w:p w14:paraId="251CD8BE" w14:textId="77777777" w:rsidR="00595C64" w:rsidRPr="00FA7A40" w:rsidRDefault="00595C64" w:rsidP="009D4B8B">
      <w:pPr>
        <w:spacing w:after="120"/>
        <w:jc w:val="center"/>
        <w:rPr>
          <w:rFonts w:ascii="Times New Roman" w:hAnsi="Times New Roman" w:cs="Times New Roman"/>
          <w:b/>
          <w:bCs/>
          <w:sz w:val="28"/>
          <w:szCs w:val="28"/>
          <w:lang w:val="en-US"/>
        </w:rPr>
      </w:pPr>
    </w:p>
    <w:p w14:paraId="6B9483AE" w14:textId="2C05EFC9" w:rsidR="009D4B8B" w:rsidRPr="00FA7A40" w:rsidRDefault="009D4B8B" w:rsidP="009D4B8B">
      <w:pPr>
        <w:autoSpaceDE w:val="0"/>
        <w:autoSpaceDN w:val="0"/>
        <w:adjustRightInd w:val="0"/>
        <w:spacing w:after="120"/>
        <w:jc w:val="center"/>
        <w:rPr>
          <w:rFonts w:ascii="Times New Roman" w:hAnsi="Times New Roman" w:cs="Times New Roman"/>
          <w:b/>
          <w:bCs/>
          <w:sz w:val="72"/>
          <w:szCs w:val="72"/>
          <w:lang w:val="en-US"/>
        </w:rPr>
      </w:pPr>
      <w:r>
        <w:rPr>
          <w:rFonts w:ascii="Times New Roman" w:hAnsi="Times New Roman" w:cs="Times New Roman"/>
          <w:b/>
          <w:bCs/>
          <w:sz w:val="72"/>
          <w:szCs w:val="72"/>
          <w:lang w:val="en-US"/>
        </w:rPr>
        <w:t xml:space="preserve">Cinsel Sömürü ve İstismar/Cinsel Taciz (CSİ/CT) Eylem Planı</w:t>
      </w:r>
    </w:p>
    <w:p w14:paraId="2494F427" w14:textId="77777777" w:rsidR="009D4B8B" w:rsidRPr="00FA7A40" w:rsidRDefault="009D4B8B" w:rsidP="00F72E1E">
      <w:pPr>
        <w:autoSpaceDE w:val="0"/>
        <w:autoSpaceDN w:val="0"/>
        <w:adjustRightInd w:val="0"/>
        <w:spacing w:after="120"/>
        <w:jc w:val="center"/>
        <w:rPr>
          <w:rFonts w:ascii="Times New Roman" w:hAnsi="Times New Roman" w:cs="Times New Roman"/>
          <w:b/>
          <w:bCs/>
          <w:sz w:val="28"/>
          <w:szCs w:val="28"/>
          <w:lang w:val="en-US"/>
        </w:rPr>
      </w:pPr>
    </w:p>
    <w:p w14:paraId="3C0AFEF2" w14:textId="123D255A" w:rsidR="00F72E1E" w:rsidRPr="00FA7A40" w:rsidRDefault="009D4B8B" w:rsidP="00DE426F">
      <w:pPr>
        <w:jc w:val="center"/>
        <w:rPr>
          <w:rFonts w:ascii="Times New Roman" w:hAnsi="Times New Roman" w:cs="Times New Roman"/>
          <w:b/>
          <w:sz w:val="36"/>
          <w:szCs w:val="72"/>
        </w:rPr>
      </w:pPr>
      <w:r>
        <w:rPr>
          <w:rFonts w:ascii="Times New Roman" w:hAnsi="Times New Roman" w:cs="Times New Roman"/>
          <w:b/>
          <w:sz w:val="36"/>
          <w:szCs w:val="72"/>
        </w:rPr>
        <w:t xml:space="preserve">(Dünya Bankası Proje Kimlik No – P509952)</w:t>
      </w:r>
    </w:p>
    <w:p w14:paraId="0CE356B8" w14:textId="77777777" w:rsidR="00F72E1E" w:rsidRPr="00FA7A40" w:rsidRDefault="00F72E1E" w:rsidP="00F72E1E">
      <w:pPr>
        <w:autoSpaceDE w:val="0"/>
        <w:autoSpaceDN w:val="0"/>
        <w:adjustRightInd w:val="0"/>
        <w:spacing w:after="120"/>
        <w:jc w:val="center"/>
        <w:rPr>
          <w:rFonts w:ascii="Times New Roman" w:hAnsi="Times New Roman" w:cs="Times New Roman"/>
          <w:b/>
          <w:bCs/>
          <w:sz w:val="28"/>
          <w:szCs w:val="28"/>
          <w:lang w:val="en-US"/>
        </w:rPr>
      </w:pPr>
    </w:p>
    <w:p w14:paraId="08828B4B" w14:textId="77777777" w:rsidR="00F72E1E" w:rsidRPr="00FA7A40" w:rsidRDefault="00F72E1E" w:rsidP="00F72E1E">
      <w:pPr>
        <w:autoSpaceDE w:val="0"/>
        <w:autoSpaceDN w:val="0"/>
        <w:adjustRightInd w:val="0"/>
        <w:spacing w:after="120"/>
        <w:jc w:val="center"/>
        <w:rPr>
          <w:rFonts w:ascii="Times New Roman" w:hAnsi="Times New Roman" w:cs="Times New Roman"/>
          <w:b/>
          <w:bCs/>
          <w:sz w:val="28"/>
          <w:szCs w:val="28"/>
          <w:lang w:val="en-US"/>
        </w:rPr>
      </w:pPr>
    </w:p>
    <w:p w14:paraId="13266370" w14:textId="77777777" w:rsidR="00F72E1E" w:rsidRPr="00FA7A40" w:rsidRDefault="00F72E1E" w:rsidP="00F72E1E">
      <w:pPr>
        <w:autoSpaceDE w:val="0"/>
        <w:autoSpaceDN w:val="0"/>
        <w:adjustRightInd w:val="0"/>
        <w:spacing w:after="120"/>
        <w:jc w:val="center"/>
        <w:rPr>
          <w:rFonts w:ascii="Times New Roman" w:hAnsi="Times New Roman" w:cs="Times New Roman"/>
          <w:b/>
          <w:bCs/>
          <w:sz w:val="28"/>
          <w:szCs w:val="28"/>
          <w:lang w:val="en-US"/>
        </w:rPr>
      </w:pPr>
    </w:p>
    <w:p w14:paraId="42C17317" w14:textId="59EF5265" w:rsidR="00F72E1E" w:rsidRPr="00FA7A40" w:rsidRDefault="00B12C8D" w:rsidP="00F72E1E">
      <w:pPr>
        <w:autoSpaceDE w:val="0"/>
        <w:autoSpaceDN w:val="0"/>
        <w:adjustRightInd w:val="0"/>
        <w:spacing w:after="12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Temmuz 2026</w:t>
      </w:r>
    </w:p>
    <w:p w14:paraId="263EFB38" w14:textId="3782DBBD" w:rsidR="00F72E1E" w:rsidRPr="00FA7A40" w:rsidRDefault="00F72E1E" w:rsidP="00DE426F">
      <w:pPr>
        <w:autoSpaceDE w:val="0"/>
        <w:autoSpaceDN w:val="0"/>
        <w:adjustRightInd w:val="0"/>
        <w:spacing w:after="12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Ankara</w:t>
      </w:r>
    </w:p>
    <w:p w14:paraId="68449AE1" w14:textId="77777777" w:rsidR="005529DD" w:rsidRDefault="005529DD" w:rsidP="00CE1404">
      <w:pPr>
        <w:jc w:val="both"/>
        <w:rPr>
          <w:rFonts w:ascii="Times New Roman" w:hAnsi="Times New Roman" w:cs="Times New Roman"/>
          <w:b/>
          <w:bCs/>
        </w:rPr>
      </w:pPr>
    </w:p>
    <w:p w14:paraId="0D807CEC" w14:textId="77777777" w:rsidR="000C38B5" w:rsidRDefault="000C38B5" w:rsidP="00CE1404">
      <w:pPr>
        <w:jc w:val="both"/>
        <w:rPr>
          <w:rFonts w:ascii="Times New Roman" w:hAnsi="Times New Roman" w:cs="Times New Roman"/>
          <w:b/>
          <w:bCs/>
        </w:rPr>
      </w:pPr>
    </w:p>
    <w:p w14:paraId="17DBBE71" w14:textId="77777777" w:rsidR="000C38B5" w:rsidRDefault="000C38B5" w:rsidP="00CE1404">
      <w:pPr>
        <w:jc w:val="both"/>
        <w:rPr>
          <w:rFonts w:ascii="Times New Roman" w:hAnsi="Times New Roman" w:cs="Times New Roman"/>
          <w:b/>
          <w:bCs/>
        </w:rPr>
      </w:pPr>
    </w:p>
    <w:p w14:paraId="4A338901" w14:textId="77777777" w:rsidR="000C38B5" w:rsidRDefault="000C38B5" w:rsidP="00CE1404">
      <w:pPr>
        <w:jc w:val="both"/>
        <w:rPr>
          <w:rFonts w:ascii="Times New Roman" w:hAnsi="Times New Roman" w:cs="Times New Roman"/>
          <w:b/>
          <w:bCs/>
        </w:rPr>
      </w:pPr>
    </w:p>
    <w:p w14:paraId="0851EDFA" w14:textId="77777777" w:rsidR="000C38B5" w:rsidRDefault="000C38B5" w:rsidP="00CE1404">
      <w:pPr>
        <w:jc w:val="both"/>
        <w:rPr>
          <w:rFonts w:ascii="Times New Roman" w:hAnsi="Times New Roman" w:cs="Times New Roman"/>
          <w:b/>
          <w:bCs/>
        </w:rPr>
      </w:pPr>
    </w:p>
    <w:p w14:paraId="5B997AE0" w14:textId="77777777" w:rsidR="000C38B5" w:rsidRDefault="000C38B5" w:rsidP="00CE1404">
      <w:pPr>
        <w:jc w:val="both"/>
        <w:rPr>
          <w:rFonts w:ascii="Times New Roman" w:hAnsi="Times New Roman" w:cs="Times New Roman"/>
          <w:b/>
          <w:bCs/>
        </w:rPr>
      </w:pPr>
    </w:p>
    <w:p w14:paraId="66B75717" w14:textId="77777777" w:rsidR="000C38B5" w:rsidRDefault="000C38B5" w:rsidP="00CE1404">
      <w:pPr>
        <w:jc w:val="both"/>
        <w:rPr>
          <w:rFonts w:ascii="Times New Roman" w:hAnsi="Times New Roman" w:cs="Times New Roman"/>
          <w:b/>
          <w:bCs/>
        </w:rPr>
      </w:pPr>
    </w:p>
    <w:p w14:paraId="391D7019" w14:textId="77777777" w:rsidR="000C38B5" w:rsidRDefault="000C38B5" w:rsidP="00CE1404">
      <w:pPr>
        <w:jc w:val="both"/>
        <w:rPr>
          <w:rFonts w:ascii="Times New Roman" w:hAnsi="Times New Roman" w:cs="Times New Roman"/>
          <w:b/>
          <w:bCs/>
        </w:rPr>
      </w:pPr>
    </w:p>
    <w:p w14:paraId="7CA959AA" w14:textId="77777777" w:rsidR="000C38B5" w:rsidRDefault="000C38B5" w:rsidP="00CE1404">
      <w:pPr>
        <w:jc w:val="both"/>
        <w:rPr>
          <w:rFonts w:ascii="Times New Roman" w:hAnsi="Times New Roman" w:cs="Times New Roman"/>
          <w:b/>
          <w:bCs/>
        </w:rPr>
      </w:pPr>
    </w:p>
    <w:p w14:paraId="4B143FA7" w14:textId="77777777" w:rsidR="000C38B5" w:rsidRDefault="000C38B5" w:rsidP="00CE1404">
      <w:pPr>
        <w:jc w:val="both"/>
        <w:rPr>
          <w:rFonts w:ascii="Times New Roman" w:hAnsi="Times New Roman" w:cs="Times New Roman"/>
          <w:b/>
          <w:bCs/>
        </w:rPr>
      </w:pPr>
    </w:p>
    <w:p w14:paraId="0B4C7785" w14:textId="77777777" w:rsidR="000C38B5" w:rsidRDefault="000C38B5" w:rsidP="00CE1404">
      <w:pPr>
        <w:jc w:val="both"/>
        <w:rPr>
          <w:rFonts w:ascii="Times New Roman" w:hAnsi="Times New Roman" w:cs="Times New Roman"/>
          <w:b/>
          <w:bCs/>
        </w:rPr>
      </w:pPr>
    </w:p>
    <w:p w14:paraId="4213A6B6" w14:textId="77777777" w:rsidR="000C38B5" w:rsidRDefault="000C38B5" w:rsidP="00CE1404">
      <w:pPr>
        <w:jc w:val="both"/>
        <w:rPr>
          <w:rFonts w:ascii="Times New Roman" w:hAnsi="Times New Roman" w:cs="Times New Roman"/>
          <w:b/>
          <w:bCs/>
        </w:rPr>
      </w:pPr>
    </w:p>
    <w:p w14:paraId="14622162" w14:textId="77777777" w:rsidR="000C38B5" w:rsidRDefault="000C38B5" w:rsidP="00CE1404">
      <w:pPr>
        <w:jc w:val="both"/>
        <w:rPr>
          <w:rFonts w:ascii="Times New Roman" w:hAnsi="Times New Roman" w:cs="Times New Roman"/>
          <w:b/>
          <w:bCs/>
        </w:rPr>
      </w:pPr>
    </w:p>
    <w:p w14:paraId="50ABB81E" w14:textId="77777777" w:rsidR="000C38B5" w:rsidRDefault="000C38B5" w:rsidP="00CE1404">
      <w:pPr>
        <w:jc w:val="both"/>
        <w:rPr>
          <w:rFonts w:ascii="Times New Roman" w:hAnsi="Times New Roman" w:cs="Times New Roman"/>
          <w:b/>
          <w:bCs/>
        </w:rPr>
      </w:pPr>
    </w:p>
    <w:p w14:paraId="2B6BD649" w14:textId="338F9736" w:rsidR="00CE1404" w:rsidRPr="00FA7A40" w:rsidRDefault="00CE1404" w:rsidP="00CE1404">
      <w:pPr>
        <w:jc w:val="both"/>
        <w:rPr>
          <w:rFonts w:ascii="Times New Roman" w:hAnsi="Times New Roman" w:cs="Times New Roman"/>
          <w:b/>
          <w:bCs/>
        </w:rPr>
      </w:pPr>
      <w:r>
        <w:rPr>
          <w:rFonts w:ascii="Times New Roman" w:hAnsi="Times New Roman" w:cs="Times New Roman"/>
          <w:b/>
          <w:bCs/>
        </w:rPr>
        <w:lastRenderedPageBreak/>
        <w:t xml:space="preserve">Proje Adı:</w:t>
      </w:r>
      <w:r>
        <w:rPr>
          <w:rFonts w:ascii="Times New Roman" w:hAnsi="Times New Roman" w:cs="Times New Roman"/>
        </w:rPr>
        <w:t xml:space="preserve">İstanbul Kuzey Demiryolu Geçişi Projesi</w:t>
      </w:r>
      <w:r>
        <w:rPr>
          <w:rFonts w:ascii="Times New Roman" w:hAnsi="Times New Roman" w:cs="Times New Roman"/>
          <w:b/>
          <w:bCs/>
        </w:rPr>
        <w:t xml:space="preserve"> </w:t>
      </w:r>
    </w:p>
    <w:p w14:paraId="63088463" w14:textId="4D4BC87F" w:rsidR="00CE1404" w:rsidRPr="00FA7A40" w:rsidRDefault="00CE1404" w:rsidP="00CE1404">
      <w:pPr>
        <w:jc w:val="both"/>
        <w:rPr>
          <w:rFonts w:ascii="Times New Roman" w:hAnsi="Times New Roman" w:cs="Times New Roman"/>
          <w:b/>
          <w:bCs/>
        </w:rPr>
      </w:pPr>
      <w:r>
        <w:rPr>
          <w:rFonts w:ascii="Times New Roman" w:hAnsi="Times New Roman" w:cs="Times New Roman"/>
          <w:b/>
          <w:bCs/>
        </w:rPr>
        <w:t xml:space="preserve">Proje P Kodu:  </w:t>
      </w:r>
      <w:r>
        <w:rPr>
          <w:rFonts w:ascii="Times New Roman" w:hAnsi="Times New Roman" w:cs="Times New Roman"/>
        </w:rPr>
        <w:t xml:space="preserve">P509952</w:t>
      </w:r>
      <w:r>
        <w:rPr>
          <w:rFonts w:ascii="Times New Roman" w:hAnsi="Times New Roman" w:cs="Times New Roman"/>
          <w:b/>
          <w:bCs/>
        </w:rPr>
        <w:tab/>
        <w:tab/>
        <w:tab/>
        <w:tab/>
        <w:tab/>
      </w:r>
    </w:p>
    <w:p w14:paraId="58CBA9F2" w14:textId="77777777" w:rsidR="00CE1404" w:rsidRPr="00FA7A40" w:rsidRDefault="00CE1404" w:rsidP="00CE1404">
      <w:pPr>
        <w:jc w:val="both"/>
        <w:rPr>
          <w:rFonts w:ascii="Times New Roman" w:hAnsi="Times New Roman" w:cs="Times New Roman"/>
          <w:b/>
          <w:bCs/>
        </w:rPr>
      </w:pPr>
      <w:r>
        <w:rPr>
          <w:rFonts w:ascii="Times New Roman" w:hAnsi="Times New Roman" w:cs="Times New Roman"/>
          <w:b/>
          <w:bCs/>
        </w:rPr>
        <w:t xml:space="preserve">Ülke: </w:t>
      </w:r>
      <w:r>
        <w:rPr>
          <w:rFonts w:ascii="Times New Roman" w:hAnsi="Times New Roman" w:cs="Times New Roman"/>
        </w:rPr>
        <w:t xml:space="preserve">Türkiye</w:t>
      </w:r>
    </w:p>
    <w:p w14:paraId="18439CE8" w14:textId="0F9A3227" w:rsidR="00CE1404" w:rsidRPr="00FA7A40" w:rsidRDefault="00CE1404" w:rsidP="00CE1404">
      <w:pPr>
        <w:jc w:val="both"/>
        <w:rPr>
          <w:rFonts w:ascii="Times New Roman" w:hAnsi="Times New Roman" w:cs="Times New Roman"/>
          <w:b/>
          <w:bCs/>
        </w:rPr>
      </w:pPr>
      <w:r>
        <w:rPr>
          <w:rFonts w:ascii="Times New Roman" w:hAnsi="Times New Roman" w:cs="Times New Roman"/>
          <w:b/>
          <w:bCs/>
        </w:rPr>
        <w:t xml:space="preserve">CSİ/CT Eylem Planı Tarihi:</w:t>
      </w:r>
      <w:r>
        <w:rPr>
          <w:rFonts w:ascii="Times New Roman" w:hAnsi="Times New Roman" w:cs="Times New Roman"/>
        </w:rPr>
        <w:t xml:space="preserve">02.07.2026</w:t>
        <w:tab/>
      </w:r>
    </w:p>
    <w:p w14:paraId="74E72AA6" w14:textId="77777777" w:rsidR="00CE1404" w:rsidRPr="00FA7A40" w:rsidRDefault="00CE1404" w:rsidP="00CE1404">
      <w:pPr>
        <w:jc w:val="both"/>
        <w:rPr>
          <w:rFonts w:ascii="Times New Roman" w:hAnsi="Times New Roman" w:cs="Times New Roman"/>
          <w:b/>
          <w:bCs/>
        </w:rPr>
      </w:pPr>
      <w:r>
        <w:rPr>
          <w:rFonts w:ascii="Times New Roman" w:hAnsi="Times New Roman" w:cs="Times New Roman"/>
          <w:b/>
          <w:bCs/>
        </w:rPr>
        <w:t xml:space="preserve">CSİ/CT risk düzeyi: </w:t>
      </w:r>
      <w:r>
        <w:rPr>
          <w:rFonts w:ascii="Times New Roman" w:hAnsi="Times New Roman" w:cs="Times New Roman"/>
        </w:rPr>
        <w:t xml:space="preserve">Orta</w:t>
      </w:r>
    </w:p>
    <w:p w14:paraId="137DE26C" w14:textId="77777777" w:rsidR="00F72E1E" w:rsidRPr="00FA7A40" w:rsidRDefault="00F72E1E" w:rsidP="00F72E1E">
      <w:pPr>
        <w:spacing w:after="120"/>
        <w:rPr>
          <w:rFonts w:ascii="Times New Roman" w:hAnsi="Times New Roman" w:cs="Times New Roman"/>
          <w:b/>
          <w:bCs/>
          <w:color w:val="000000" w:themeColor="text1"/>
          <w:sz w:val="22"/>
          <w:szCs w:val="22"/>
          <w:lang w:val="en-US"/>
        </w:rPr>
      </w:pPr>
    </w:p>
    <w:p w14:paraId="5F64149C" w14:textId="09A8C5FC" w:rsidR="00F72E1E" w:rsidRPr="00FA7A40" w:rsidRDefault="00F72E1E" w:rsidP="008D2574">
      <w:pPr>
        <w:pStyle w:val="Balk1"/>
        <w:numPr>
          <w:ilvl w:val="0"/>
          <w:numId w:val="4"/>
        </w:numPr>
        <w:rPr>
          <w:rFonts w:ascii="Times New Roman" w:hAnsi="Times New Roman" w:cs="Times New Roman"/>
          <w:b/>
          <w:bCs/>
          <w:color w:val="000000" w:themeColor="text1"/>
          <w:sz w:val="28"/>
          <w:szCs w:val="28"/>
        </w:rPr>
      </w:pPr>
      <w:bookmarkStart w:id="0" w:name="_Toc191299725"/>
      <w:r>
        <w:rPr>
          <w:rFonts w:ascii="Times New Roman" w:hAnsi="Times New Roman" w:cs="Times New Roman"/>
          <w:b/>
          <w:bCs/>
          <w:color w:val="000000" w:themeColor="text1"/>
          <w:sz w:val="28"/>
          <w:szCs w:val="28"/>
        </w:rPr>
        <w:t xml:space="preserve">Giriş</w:t>
      </w:r>
      <w:bookmarkEnd w:id="0"/>
    </w:p>
    <w:p w14:paraId="5E00F70E" w14:textId="6612BD96" w:rsidR="00450EF9" w:rsidRPr="00FA7A40" w:rsidRDefault="00450EF9" w:rsidP="00450EF9">
      <w:pPr>
        <w:rPr>
          <w:rFonts w:ascii="Times New Roman" w:hAnsi="Times New Roman" w:cs="Times New Roman"/>
          <w:lang w:val="en-US"/>
        </w:rPr>
      </w:pPr>
    </w:p>
    <w:p w14:paraId="31D1107A" w14:textId="4239B801" w:rsidR="00C53A30" w:rsidRDefault="00C53A30" w:rsidP="00C53A30">
      <w:pPr>
        <w:keepNext/>
        <w:spacing w:line="259" w:lineRule="auto"/>
        <w:contextualSpacing/>
        <w:jc w:val="both"/>
        <w:rPr>
          <w:rFonts w:ascii="Times New Roman" w:hAnsi="Times New Roman" w:cs="Times New Roman"/>
          <w:color w:val="000000" w:themeColor="text1"/>
          <w:sz w:val="21"/>
          <w:szCs w:val="21"/>
          <w:lang w:val="en-US"/>
        </w:rPr>
      </w:pPr>
      <w:bookmarkStart w:id="1" w:name="_Hlk170047102"/>
      <w:bookmarkStart w:id="2" w:name="_Hlk119486050"/>
      <w:r>
        <w:rPr>
          <w:rFonts w:ascii="Times New Roman" w:hAnsi="Times New Roman" w:cs="Times New Roman"/>
          <w:color w:val="000000" w:themeColor="text1"/>
          <w:sz w:val="21"/>
          <w:szCs w:val="21"/>
          <w:lang w:val="en-US"/>
        </w:rPr>
        <w:t xml:space="preserve">INRAIL Projesi, İstanbul Metropolitan Alanı için bir çevre yolu işlevi görecek ve Boğaz üzerinden karadan bir geçiş sağlayacak yaklaşık 127 km uzunluğunda yeni bir demiryolu hattının inşasını kapsamaktadır. INRAIL, Uygulayıcı Kurum olarak görev yapacak olan Ulaştırma ve Altyapı Bakanlığı (UAB) bünyesindeki Altyapı Yatırımları Genel Müdürlüğü (AYGM) tarafından hazırlanmakta ve yönetilmektedir. Önerilen demiryolu çevre yolu, Anadolu yakasında Çayırova istasyonunda veya yakınında başlayacak ve Avrupa yakasında Çatalca istasyonunda sona erecek olup, Boğaz'ın kuzey ucunda Üçüncü Köprü olarak da bilinen Yavuz Sultan Selim (YSS) Köprüsü üzerinde ayrılan mevcut hat alanı kullanılarak İstanbul Boğazı'nı geçecektir.</w:t>
      </w:r>
    </w:p>
    <w:p w14:paraId="2E3BD9FE" w14:textId="77777777" w:rsidR="00C53A30" w:rsidRPr="00C53A30" w:rsidRDefault="00C53A30" w:rsidP="00C53A30">
      <w:pPr>
        <w:keepNext/>
        <w:spacing w:line="259" w:lineRule="auto"/>
        <w:contextualSpacing/>
        <w:jc w:val="both"/>
        <w:rPr>
          <w:rFonts w:ascii="Times New Roman" w:hAnsi="Times New Roman" w:cs="Times New Roman"/>
          <w:color w:val="000000" w:themeColor="text1"/>
          <w:sz w:val="21"/>
          <w:szCs w:val="21"/>
          <w:lang w:val="en-US"/>
        </w:rPr>
      </w:pPr>
    </w:p>
    <w:p w14:paraId="3C71E978" w14:textId="2FA532EA" w:rsidR="00C53A30" w:rsidRDefault="00C53A30" w:rsidP="00C53A30">
      <w:pPr>
        <w:keepNext/>
        <w:spacing w:line="259" w:lineRule="auto"/>
        <w:contextualSpacing/>
        <w:jc w:val="both"/>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Çevre yolu, yolcu ve yük taşımacılığı için elektrikli, tam sinyalizasyonlu, karma kullanımlı bir hat olarak önerilmektedir. Yolcu trenlerinin azami 160 km/saat tasarım hızıyla hareket etme kapasitesiyle Türkiye ulusal yüksek hızlı demiryolu ağına bağlanacaktır. Yük trenleri ise saatte 80–120 km hıza kadar hareket edecektir. Hat, Avrupa yakasındaki İstanbul Havalimanı'nı (IST) kentsel ve şehirlerarası demiryolu ağına, Anadolu yakasındaki Sabiha Gökçen Havalimanı'nı (SAW) ise aynı ağa bağlayarak (i) yurt içi ve uluslararası hava ve demiryolu yolcu bağlantısını ve (ii) İstanbul Metropolitan Alanı içinde kentsel hareketliliği kolaylaştıracaktır.</w:t>
      </w:r>
    </w:p>
    <w:p w14:paraId="6F9F0E1A" w14:textId="77777777" w:rsidR="00C53A30" w:rsidRPr="00C53A30" w:rsidRDefault="00C53A30" w:rsidP="00C53A30">
      <w:pPr>
        <w:keepNext/>
        <w:spacing w:line="259" w:lineRule="auto"/>
        <w:contextualSpacing/>
        <w:jc w:val="both"/>
        <w:rPr>
          <w:rFonts w:ascii="Times New Roman" w:hAnsi="Times New Roman" w:cs="Times New Roman"/>
          <w:color w:val="000000" w:themeColor="text1"/>
          <w:sz w:val="21"/>
          <w:szCs w:val="21"/>
          <w:lang w:val="en-US"/>
        </w:rPr>
      </w:pPr>
    </w:p>
    <w:p w14:paraId="35F29D14" w14:textId="4E06FF0F" w:rsidR="005529DD" w:rsidRDefault="00C53A30" w:rsidP="005529DD">
      <w:pPr>
        <w:keepNext/>
        <w:spacing w:line="259" w:lineRule="auto"/>
        <w:contextualSpacing/>
        <w:jc w:val="both"/>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İki havalimanı, yolcu akışlarını harekete geçirme ve yük taşımacılığından hava kargo taşımacılığına aktarımlar dahil olmak üzere çok modlu lojistiği destekleme kapasitesine sahip, çevre yolu hattının tek iki istasyonu olacaktır. Dünya Bankası, projeyi eş finanse etmek üzere belirlenen çok sayıda uluslararası finans kuruluşunu (IFI) bir araya getirmiştir: Asya Kalkınma Bankası (ADB), AIIB, İslam Kalkınma Bankası (IsDB), EBRD ve Uluslararası Kalkınma için OPEC Fonu (OPEC Fonu) ("eş finansörler") (Dünya Bankası ile birlikte "kredi verenler"). Proje üç ana bileşen etrafında şekillenmektedir:</w:t>
      </w:r>
    </w:p>
    <w:p w14:paraId="651EA69C" w14:textId="77777777" w:rsidR="005529DD" w:rsidRDefault="005529DD" w:rsidP="005529DD">
      <w:pPr>
        <w:keepNext/>
        <w:spacing w:line="259" w:lineRule="auto"/>
        <w:contextualSpacing/>
        <w:jc w:val="both"/>
        <w:rPr>
          <w:rFonts w:ascii="Times New Roman" w:hAnsi="Times New Roman" w:cs="Times New Roman"/>
          <w:color w:val="000000" w:themeColor="text1"/>
          <w:sz w:val="21"/>
          <w:szCs w:val="21"/>
          <w:lang w:val="en-US"/>
        </w:rPr>
      </w:pPr>
    </w:p>
    <w:p w14:paraId="28BF9C31" w14:textId="71B615D1" w:rsidR="00C53A30" w:rsidRPr="0026561E" w:rsidRDefault="006951FF" w:rsidP="0026561E">
      <w:pPr>
        <w:keepNext/>
        <w:spacing w:line="259" w:lineRule="auto"/>
        <w:contextualSpacing/>
        <w:jc w:val="both"/>
        <w:rPr>
          <w:rFonts w:ascii="Times New Roman" w:hAnsi="Times New Roman" w:cs="Times New Roman"/>
          <w:b/>
          <w:bCs/>
          <w:color w:val="000000" w:themeColor="text1"/>
          <w:sz w:val="21"/>
          <w:szCs w:val="21"/>
          <w:lang w:val="en-US"/>
        </w:rPr>
      </w:pPr>
      <w:r>
        <w:rPr>
          <w:rFonts w:ascii="Times New Roman" w:hAnsi="Times New Roman" w:cs="Times New Roman"/>
          <w:b/>
          <w:bCs/>
          <w:color w:val="000000" w:themeColor="text1"/>
          <w:sz w:val="21"/>
          <w:szCs w:val="21"/>
          <w:lang w:val="en-US"/>
        </w:rPr>
        <w:t xml:space="preserve">Bileşen 1 – Tasarım, Altyapı ve Üstyapı İnşaat İşleri</w:t>
      </w:r>
      <w:bookmarkStart w:id="3" w:name="_Toc169878405"/>
      <w:r>
        <w:rPr>
          <w:rFonts w:ascii="Times New Roman" w:hAnsi="Times New Roman" w:cs="Times New Roman"/>
          <w:b/>
          <w:bCs/>
          <w:color w:val="000000" w:themeColor="text1"/>
          <w:sz w:val="21"/>
          <w:szCs w:val="21"/>
          <w:lang w:val="en-US"/>
        </w:rPr>
        <w:t xml:space="preserve">: </w:t>
      </w:r>
      <w:r>
        <w:rPr>
          <w:rFonts w:ascii="Times New Roman" w:hAnsi="Times New Roman" w:cs="Times New Roman"/>
          <w:color w:val="000000" w:themeColor="text1"/>
          <w:sz w:val="21"/>
          <w:szCs w:val="21"/>
          <w:lang w:val="en-US"/>
        </w:rPr>
        <w:t xml:space="preserve">Bu bileşen, aşağıdaki çıktıları sağlamak üzere mal, iş ve hizmetleri finanse edecektir:</w:t>
      </w:r>
    </w:p>
    <w:p w14:paraId="59D7D7DE" w14:textId="1D3A41A6" w:rsidR="00C53A30" w:rsidRPr="00B12C8D" w:rsidRDefault="00C53A30" w:rsidP="00C53A30">
      <w:pPr>
        <w:pStyle w:val="ListeParagraf"/>
        <w:numPr>
          <w:ilvl w:val="1"/>
          <w:numId w:val="26"/>
        </w:numPr>
        <w:spacing w:after="120"/>
        <w:jc w:val="both"/>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Tasarım-Yapım uygulama yaklaşımı (FIDIC Sarı Kitap) kapsamında yürütülecek olan tüm inşaat ve montaj işleri için ayrıntılı mühendislik tasarımlarının hazırlanması. Bu yaklaşımın, birbirine bağımlı bu işlevleri aynı sağlayıcı altında entegre ederek altyapı kalite sonuçlarını iyileştirmesi ve fiziksel ilerlemeyi hızlandırması beklenmektedir.</w:t>
      </w:r>
    </w:p>
    <w:p w14:paraId="181F1C09" w14:textId="77777777" w:rsidR="00B12C8D" w:rsidRPr="00B12C8D" w:rsidRDefault="00C53A30" w:rsidP="00B12C8D">
      <w:pPr>
        <w:pStyle w:val="ListeParagraf"/>
        <w:numPr>
          <w:ilvl w:val="1"/>
          <w:numId w:val="26"/>
        </w:numPr>
        <w:spacing w:after="120"/>
        <w:jc w:val="both"/>
        <w:rPr>
          <w:rFonts w:ascii="Times New Roman" w:hAnsi="Times New Roman" w:cs="Times New Roman"/>
          <w:lang w:val="en-US"/>
        </w:rPr>
      </w:pPr>
      <w:r>
        <w:rPr>
          <w:rFonts w:ascii="Times New Roman" w:hAnsi="Times New Roman" w:cs="Times New Roman"/>
          <w:color w:val="000000" w:themeColor="text1"/>
          <w:sz w:val="21"/>
          <w:szCs w:val="21"/>
          <w:lang w:val="en-US"/>
        </w:rPr>
        <w:t xml:space="preserve">Çayırova ve Çatalca istasyonlarını birbirine bağlayan 122,3 km çift hatlı ana hat ile bu ana hatta 4,7 km tek hatlı bağlantıların inşası olup, toplamda azami 160 km/saat tasarım hızına sahip 127 km uzunluğunda elektrikli, tam sinyalizasyonlu yüksek hızlı demiryolu altyapısı oluşturulacaktır.</w:t>
      </w:r>
    </w:p>
    <w:p w14:paraId="5A3B8CB7" w14:textId="173BDA33" w:rsidR="00B12C8D" w:rsidRPr="00B12C8D" w:rsidRDefault="00B12C8D" w:rsidP="00B12C8D">
      <w:pPr>
        <w:spacing w:after="120"/>
        <w:jc w:val="both"/>
        <w:rPr>
          <w:rFonts w:ascii="Times New Roman" w:hAnsi="Times New Roman" w:cs="Times New Roman"/>
          <w:color w:val="000000" w:themeColor="text1"/>
          <w:sz w:val="21"/>
          <w:szCs w:val="21"/>
          <w:lang w:val="en-US"/>
        </w:rPr>
      </w:pPr>
      <w:r>
        <w:rPr>
          <w:rFonts w:ascii="Times New Roman" w:hAnsi="Times New Roman" w:cs="Times New Roman"/>
          <w:b/>
          <w:bCs/>
          <w:color w:val="000000" w:themeColor="text1"/>
          <w:sz w:val="21"/>
          <w:szCs w:val="21"/>
          <w:lang w:val="en-US"/>
        </w:rPr>
        <w:t xml:space="preserve">Bileşen 2 - Tasarım Denetimi ve İnşaat Denetim Hizmetleri.</w:t>
      </w:r>
      <w:r>
        <w:rPr>
          <w:rFonts w:ascii="Times New Roman" w:hAnsi="Times New Roman" w:cs="Times New Roman"/>
          <w:lang w:val="en-US"/>
        </w:rPr>
        <w:t xml:space="preserve"> </w:t>
      </w:r>
      <w:r>
        <w:rPr>
          <w:rFonts w:ascii="Times New Roman" w:hAnsi="Times New Roman" w:cs="Times New Roman"/>
          <w:color w:val="000000" w:themeColor="text1"/>
          <w:sz w:val="21"/>
          <w:szCs w:val="21"/>
          <w:lang w:val="en-US"/>
        </w:rPr>
        <w:t xml:space="preserve">Bu bileşen, Bileşen 1 kapsamındaki mühendislik tasarımlarını incelemek ve inşaat/montaj işlerini tüm inşaat aşamaları ve sözleşmeleri kapsayacak şekilde denetlemek üzere danışmanlık hizmetlerini finanse edecektir. Tasarım/inşaat denetimi için görevlendirilen İnşaat Denetim Danışmanı (CSC), FIDIC Sarı Kitap (Tasarım–Yapım) koşulları uyarınca Mühendis sıfatıyla görevlerini yerine getirecek ve burada tanımlanan sorumlulukların ve yetkilerin tamamını kullanacaktır. CSC'nin Görev Tanımı (ToR), iklime dayanıklı özelliklerin uygulandığının ve uyarlanabilir işletme protokollerinin sistem devreye alma ile işletme ve bakım (O&amp;M) dokümantasyonuna entegre edildiğinin doğrulanmasını içerecektir.</w:t>
      </w:r>
    </w:p>
    <w:p w14:paraId="39922757" w14:textId="55826449" w:rsidR="00B12C8D" w:rsidRPr="0026561E" w:rsidRDefault="00B12C8D" w:rsidP="0026561E">
      <w:pPr>
        <w:spacing w:after="120"/>
        <w:jc w:val="both"/>
        <w:rPr>
          <w:rFonts w:ascii="Times New Roman" w:hAnsi="Times New Roman" w:cs="Times New Roman"/>
          <w:color w:val="000000" w:themeColor="text1"/>
          <w:sz w:val="21"/>
          <w:szCs w:val="21"/>
          <w:lang w:val="en-US"/>
        </w:rPr>
      </w:pPr>
      <w:r>
        <w:rPr>
          <w:rFonts w:ascii="Times New Roman" w:hAnsi="Times New Roman" w:cs="Times New Roman"/>
          <w:b/>
          <w:bCs/>
          <w:color w:val="000000" w:themeColor="text1"/>
          <w:sz w:val="21"/>
          <w:szCs w:val="21"/>
          <w:lang w:val="en-US"/>
        </w:rPr>
        <w:t xml:space="preserve">Bileşen 3 - Proje Uygulama ve Gözetim Desteği ile İşgücü Piyasasındaki Toplumsal Cinsiyet Eşitsizliklerinin Azaltılmasına Yönelik Proje Düzeyinde Destek</w:t>
      </w:r>
      <w:r>
        <w:rPr>
          <w:rFonts w:ascii="Times New Roman" w:hAnsi="Times New Roman" w:cs="Times New Roman"/>
          <w:b/>
          <w:lang w:val="en-US"/>
        </w:rPr>
        <w:t xml:space="preserve">: </w:t>
      </w:r>
      <w:r>
        <w:rPr>
          <w:rFonts w:ascii="Times New Roman" w:hAnsi="Times New Roman" w:cs="Times New Roman"/>
          <w:color w:val="000000" w:themeColor="text1"/>
          <w:sz w:val="21"/>
          <w:szCs w:val="21"/>
          <w:lang w:val="en-US"/>
        </w:rPr>
        <w:t xml:space="preserve">Bu bileşen, projenin uygulayıcı kurumu olan UAB'ye (i) bireysel danışmanlar; (ii) yalnızca INRAIL için PUB alt birimini destekleyecek bir Proje Yönetim Danışmanı (PMC); ve (iii) PUB ve proje kredi verenlerinin yararına bağımsız stratejik ve teknik tavsiye ile bağımsız gözetim sağlayacak bir Proje Uygulama Gözetim Danışmanı (PIOC) sağlayarak proje uygulama kapasitesini artıracaktır. Bu Bileşen ayrıca, etkili uygulama için gerekli olduğu ölçüde PUB için eğitim faaliyetlerini ve işletme maliyetlerini de finanse edebilir. PMC, finansman anlaşmaları uyarınca kredi verenlerin tüm mali, çevresel ve sosyal (Ç&amp;S), vatandaş katılımı, izleme ve değerlendirme (İ&amp;D) ile raporlama gereksinimlerine ve ayrıca ulusal yasa ve yükümlülüklere uyum dahil olmak üzere, projenin uygulanması ve yönetilmesine ilişkin günlük görevleri destekleyecektir. PIOC, AYGM ve kredi verenlerin gereksinimlerini karşılamaya yardımcı olmak üzere proje yaşam döngüsü boyunca teknik destek ve kalite güvencesi dahil olmak üzere bağımsız uygulama gözetimi sağlayacaktır. Üçüncü taraf doğrulama kuruluşu olarak görev yapan PIOC, Çevresel ve Sosyal Yönetim Planı (ÇSYP) uygulamasının ve ulusal mevzuat ile Dünya Bankası ÇSÇ'sine uyumun periyodik denetimlerini gerçekleştirecektir. PIOC ayrıca sürekli risk yönetimi hizmetleri sağlayacak, temel sözleşmesel ve proje arayüz analizlerini izleyecek ve altyapının gerekli işletmelere olanak sağladığından emin olmak için test ve devreye alma süreçlerinin bağımsız bir incelemesini sunacaktır. </w:t>
      </w:r>
    </w:p>
    <w:p w14:paraId="36FC0CCC" w14:textId="0476816B" w:rsidR="00B12C8D" w:rsidRPr="0026561E" w:rsidRDefault="00B12C8D" w:rsidP="0026561E">
      <w:pPr>
        <w:spacing w:after="120"/>
        <w:jc w:val="both"/>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Ayrıca proje, ilgili bölümlerde öğrenim gören son sınıf kadın öğrencilere yönelik olarak UAB'nin Gelişmiş Stajyerlik Programını (EIP) genişletecek; bu program uygulamalı deneyim kazandırmanın yanı sıra kalıcı istihdama destek sağlamayı amaçlamaktadır. Program, ulusal staj girişimini tamamlamakta ve AYGM'nin 2021'den bu yana sürdürdüğü RLIP deneyimine dayanmaktadır. INRAIL kapsamında AYGM, özel olarak uyarlanmış işbaşı eğitim imkânı ile mezuniyet sonrası 18 aya kadar destek (mentorluk, koçluk, kariyer danışmanlığı, mülakata hazırlık, iş arama desteği) içeren 100 staj olanağı sunacaktır. EIP, Ankara dışındaki öğrencileri de kapsayacak olup Türkiye Cumhuriyeti (RoT) tarafından finanse edilmekte ve INRAIL'in gözetiminde, INRAIL tarafından finanse edilen PMC hizmetleri çerçevesinde yürütülmektedir.</w:t>
        <w:t xml:space="preserve"/>
        <w:t xml:space="preserve"/>
        <w:t xml:space="preserve"/>
        <w:t xml:space="preserve"/>
        <w:t xml:space="preserve"/>
      </w:r>
      <w:bookmarkStart w:id="4" w:name="_GoBack"/>
      <w:bookmarkEnd w:id="4"/>
      <w:r>
        <w:rPr>
          <w:rFonts w:ascii="Times New Roman" w:hAnsi="Times New Roman" w:cs="Times New Roman"/>
          <w:color w:val="000000" w:themeColor="text1"/>
          <w:sz w:val="21"/>
          <w:szCs w:val="21"/>
          <w:lang w:val="en-US"/>
        </w:rPr>
        <w:t xml:space="preserve"/>
        <w:t xml:space="preserve"/>
      </w:r>
    </w:p>
    <w:p w14:paraId="4C3ED932" w14:textId="77777777" w:rsidR="00B12C8D" w:rsidRPr="00B12C8D" w:rsidRDefault="00B12C8D" w:rsidP="00B12C8D">
      <w:pPr>
        <w:spacing w:after="120"/>
        <w:jc w:val="both"/>
        <w:rPr>
          <w:rFonts w:ascii="Times New Roman" w:hAnsi="Times New Roman" w:cs="Times New Roman"/>
          <w:color w:val="000000" w:themeColor="text1"/>
          <w:sz w:val="21"/>
          <w:szCs w:val="21"/>
          <w:lang w:val="en-US"/>
        </w:rPr>
      </w:pPr>
    </w:p>
    <w:p w14:paraId="0C7171DA" w14:textId="77777777" w:rsidR="00631623" w:rsidRPr="00FA7A40" w:rsidRDefault="00631623" w:rsidP="008D2574">
      <w:pPr>
        <w:pStyle w:val="Balk1"/>
        <w:numPr>
          <w:ilvl w:val="0"/>
          <w:numId w:val="4"/>
        </w:numPr>
        <w:rPr>
          <w:rFonts w:ascii="Times New Roman" w:hAnsi="Times New Roman" w:cs="Times New Roman"/>
          <w:b/>
          <w:bCs/>
          <w:color w:val="000000" w:themeColor="text1"/>
          <w:sz w:val="28"/>
          <w:szCs w:val="28"/>
        </w:rPr>
      </w:pPr>
      <w:bookmarkStart w:id="5" w:name="_Hlk119486289"/>
      <w:bookmarkEnd w:id="1"/>
      <w:bookmarkEnd w:id="2"/>
      <w:bookmarkEnd w:id="3"/>
      <w:r>
        <w:rPr>
          <w:rFonts w:ascii="Times New Roman" w:hAnsi="Times New Roman" w:cs="Times New Roman"/>
          <w:b/>
          <w:bCs/>
          <w:color w:val="000000" w:themeColor="text1"/>
          <w:sz w:val="28"/>
          <w:szCs w:val="28"/>
        </w:rPr>
        <w:t xml:space="preserve">CSİ/CT EYLEM PLANI</w:t>
      </w:r>
    </w:p>
    <w:p w14:paraId="77298166" w14:textId="26DBEE89" w:rsidR="00631623" w:rsidRPr="00FA7A40" w:rsidRDefault="00631623" w:rsidP="00631623">
      <w:pPr>
        <w:spacing w:before="120"/>
        <w:jc w:val="both"/>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Eylem Planı, CSİ/CT risklerinin belirlenmesi, bu riskleri azaltmaya veya önlemeye yönelik eylemler, zaman çizelgesi ve sorumlu taraflar için ayrıntılı görevlerin yanı sıra her bir tanımlanan eylem için izleme göstergeleri ve çıktıların ortaya konması yoluyla projeyle ilişkili CSİ/CT risklerinin yönetiminden yararlanmayı amaçlamaktadır. Bu Eylem Planı, Büyük İnşaat İşlerini İçeren IPF Operasyonlarında CSİ/CT'nin Ele Alınmasına İlişkin ÇSÇ İyi Uygulama Notu (İnşaat İşleri İyi Uygulama Notu) tavsiyeleri doğrultusunda hazırlanmıştır.</w:t>
      </w:r>
    </w:p>
    <w:p w14:paraId="0E5611A8" w14:textId="77777777" w:rsidR="00631623" w:rsidRPr="00FA7A40" w:rsidRDefault="00631623" w:rsidP="00631623">
      <w:pPr>
        <w:spacing w:before="120"/>
        <w:jc w:val="both"/>
        <w:rPr>
          <w:rFonts w:ascii="Times New Roman" w:hAnsi="Times New Roman" w:cs="Times New Roman"/>
          <w:color w:val="000000" w:themeColor="text1"/>
          <w:sz w:val="21"/>
          <w:szCs w:val="21"/>
          <w:lang w:val="en-US"/>
        </w:rPr>
      </w:pPr>
    </w:p>
    <w:p w14:paraId="16F00737" w14:textId="2BE31DC2" w:rsidR="00631623" w:rsidRPr="00FA7A40" w:rsidRDefault="00631623" w:rsidP="00631623">
      <w:pPr>
        <w:pStyle w:val="Balk3"/>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t xml:space="preserve">Proje için Ön CSİ/CT Risk Analizleri</w:t>
      </w:r>
    </w:p>
    <w:p w14:paraId="115190C4" w14:textId="77777777" w:rsidR="00631623" w:rsidRPr="00FA7A40" w:rsidRDefault="00631623" w:rsidP="00631623">
      <w:pPr>
        <w:jc w:val="both"/>
        <w:rPr>
          <w:rFonts w:ascii="Times New Roman" w:hAnsi="Times New Roman" w:cs="Times New Roman"/>
          <w:b/>
          <w:bCs/>
          <w:color w:val="000000" w:themeColor="text1"/>
          <w:sz w:val="28"/>
          <w:szCs w:val="22"/>
          <w:lang w:val="en-US"/>
        </w:rPr>
      </w:pPr>
    </w:p>
    <w:tbl>
      <w:tblPr>
        <w:tblStyle w:val="KlavuzTablo6-Renkli-Vurgu3"/>
        <w:tblW w:w="22966" w:type="dxa"/>
        <w:tblInd w:w="-1085" w:type="dxa"/>
        <w:tblLayout w:type="fixed"/>
        <w:tblLook w:val="04A0" w:firstRow="1" w:lastRow="0" w:firstColumn="1" w:lastColumn="0" w:noHBand="0" w:noVBand="1"/>
      </w:tblPr>
      <w:tblGrid>
        <w:gridCol w:w="1216"/>
        <w:gridCol w:w="6301"/>
        <w:gridCol w:w="2844"/>
        <w:gridCol w:w="2642"/>
        <w:gridCol w:w="9963"/>
      </w:tblGrid>
      <w:tr w:rsidR="002F1D0C" w:rsidRPr="00FA7A40" w14:paraId="57541B98" w14:textId="77777777" w:rsidTr="002F1D0C">
        <w:trPr>
          <w:cnfStyle w:val="100000000000" w:firstRow="1" w:lastRow="0" w:firstColumn="0" w:lastColumn="0" w:oddVBand="0" w:evenVBand="0" w:oddHBand="0"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012B6322" w14:textId="77777777" w:rsidR="002F1D0C" w:rsidRPr="00FA7A40" w:rsidRDefault="002F1D0C">
            <w:pPr>
              <w:jc w:val="center"/>
              <w:rPr>
                <w:rFonts w:ascii="Times New Roman" w:eastAsiaTheme="minorEastAsia" w:hAnsi="Times New Roman" w:cs="Times New Roman"/>
                <w:b w:val="0"/>
                <w:bCs w:val="0"/>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No</w:t>
            </w:r>
          </w:p>
        </w:tc>
        <w:tc>
          <w:tcPr>
            <w:tcW w:w="6301" w:type="dxa"/>
            <w:vAlign w:val="center"/>
          </w:tcPr>
          <w:p w14:paraId="7886BE1B" w14:textId="77777777" w:rsidR="002F1D0C" w:rsidRPr="00FA7A40" w:rsidRDefault="002F1D0C">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Riskler</w:t>
            </w:r>
          </w:p>
        </w:tc>
        <w:tc>
          <w:tcPr>
            <w:tcW w:w="2844" w:type="dxa"/>
            <w:vAlign w:val="center"/>
          </w:tcPr>
          <w:p w14:paraId="6437F8D6" w14:textId="77777777" w:rsidR="002F1D0C" w:rsidRPr="00FA7A40" w:rsidRDefault="002F1D0C">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Olasılık</w:t>
            </w:r>
          </w:p>
        </w:tc>
        <w:tc>
          <w:tcPr>
            <w:tcW w:w="2642" w:type="dxa"/>
            <w:vAlign w:val="center"/>
          </w:tcPr>
          <w:p w14:paraId="525205D4" w14:textId="77777777" w:rsidR="002F1D0C" w:rsidRPr="00FA7A40" w:rsidRDefault="002F1D0C">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Etki</w:t>
            </w:r>
          </w:p>
        </w:tc>
        <w:tc>
          <w:tcPr>
            <w:tcW w:w="9963" w:type="dxa"/>
            <w:vAlign w:val="center"/>
          </w:tcPr>
          <w:p w14:paraId="2FB678EC" w14:textId="7D3D12AB" w:rsidR="002F1D0C" w:rsidRPr="00FA7A40" w:rsidRDefault="002F1D0C" w:rsidP="2E63F672">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Açıklamalar (Proje faaliyetleriyle ilişkili riskler dikkate alınarak)</w:t>
            </w:r>
          </w:p>
        </w:tc>
      </w:tr>
      <w:tr w:rsidR="002F1D0C" w:rsidRPr="00FA7A40" w14:paraId="027E5928"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5CC46AF8" w14:textId="191B8E1B"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w:t>
            </w:r>
          </w:p>
        </w:tc>
        <w:tc>
          <w:tcPr>
            <w:tcW w:w="6301" w:type="dxa"/>
            <w:vAlign w:val="center"/>
          </w:tcPr>
          <w:p w14:paraId="7648A2DA" w14:textId="2F259EE8" w:rsidR="002F1D0C" w:rsidRPr="00FA7A40" w:rsidRDefault="002F1D0C" w:rsidP="2E63F672">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Proje illerinde CSİ/CT'nin yaygınlığı</w:t>
            </w:r>
          </w:p>
        </w:tc>
        <w:tc>
          <w:tcPr>
            <w:tcW w:w="2844" w:type="dxa"/>
            <w:vAlign w:val="center"/>
          </w:tcPr>
          <w:p w14:paraId="5B9C8193" w14:textId="273300F6"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2642" w:type="dxa"/>
            <w:vAlign w:val="center"/>
          </w:tcPr>
          <w:p w14:paraId="1E23D253" w14:textId="5A0A7162"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Yüksek</w:t>
            </w:r>
          </w:p>
        </w:tc>
        <w:tc>
          <w:tcPr>
            <w:tcW w:w="9963" w:type="dxa"/>
            <w:vAlign w:val="center"/>
          </w:tcPr>
          <w:p w14:paraId="5F487F89" w14:textId="554BEE88" w:rsidR="002F1D0C" w:rsidRPr="00FA7A40" w:rsidRDefault="006238EF"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Projeden etkilenen bölgelerde projeyle ilişkili CSİ/CT riskinin yüksek olduğunu ve uygulama sırasında bu tür olayların meydana gelme olasılığının daha fazla olduğunu göstermektedir. Bu riskler, kadınların projeyle ilişkili istihdam fırsatlarına katılımını engelleyebilir ve uygulama aşamasında olay olasılığını artırarak, sağlam bir izleme ve proaktif toplum koruma önlemleri gerektiren yüksek riskli bir ortam yaratabilir. Bu riskleri etkin bir şekilde yönetebilmek için güçlü bir risk yönetim sistemine ihtiyaç duyulmaktadır.</w:t>
              <w:lastRenderedPageBreak/>
              <w:t xml:space="preserve"/>
            </w:r>
          </w:p>
        </w:tc>
      </w:tr>
      <w:tr w:rsidR="002F1D0C" w:rsidRPr="00FA7A40" w14:paraId="0998ABE7" w14:textId="77777777" w:rsidTr="002F1D0C">
        <w:trPr>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3A55B3C7" w14:textId="6EFF4C2B"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lastRenderedPageBreak/>
              <w:t xml:space="preserve">2</w:t>
            </w:r>
          </w:p>
        </w:tc>
        <w:tc>
          <w:tcPr>
            <w:tcW w:w="6301" w:type="dxa"/>
            <w:vAlign w:val="center"/>
          </w:tcPr>
          <w:p w14:paraId="04DEAB6B" w14:textId="25F95CE0"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Çalışma hayatında CSİ/CT'nin yaygınlığı</w:t>
            </w:r>
          </w:p>
        </w:tc>
        <w:tc>
          <w:tcPr>
            <w:tcW w:w="2844" w:type="dxa"/>
            <w:vAlign w:val="center"/>
          </w:tcPr>
          <w:p w14:paraId="6D62DE57" w14:textId="6A6CB7BE"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2642" w:type="dxa"/>
            <w:vAlign w:val="center"/>
          </w:tcPr>
          <w:p w14:paraId="04F8B1D6" w14:textId="4536EFD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Yüksek</w:t>
            </w:r>
          </w:p>
        </w:tc>
        <w:tc>
          <w:tcPr>
            <w:tcW w:w="9963" w:type="dxa"/>
            <w:vAlign w:val="center"/>
          </w:tcPr>
          <w:p w14:paraId="53CB0687" w14:textId="26603B73"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Kadınlara yönelik yaygın ayrımcılık, istismara karşı savunmasızlığa ve yardım arama konusunda kaynak yetersizliğine yol açmaktadır. Bu durum, uygunsuz davranışları normalleştirerek düşmanca bir ortam yaratmakta, kadınların katılımını sistematik olarak caydırmakta ve projenin sıfır tolerans politikalarını zayıflatmaktadır.</w:t>
            </w:r>
          </w:p>
        </w:tc>
      </w:tr>
      <w:tr w:rsidR="002F1D0C" w:rsidRPr="00FA7A40" w14:paraId="6677BB50"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11556C9" w14:textId="28CDB232"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3</w:t>
            </w:r>
          </w:p>
        </w:tc>
        <w:tc>
          <w:tcPr>
            <w:tcW w:w="6301" w:type="dxa"/>
            <w:vAlign w:val="center"/>
          </w:tcPr>
          <w:p w14:paraId="0AAF37C3" w14:textId="3768EC58"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Yöneticiler ve çalışanlar arasında CSİ/CT konusunda sınırlı farkındalık</w:t>
            </w:r>
          </w:p>
        </w:tc>
        <w:tc>
          <w:tcPr>
            <w:tcW w:w="2844" w:type="dxa"/>
            <w:vAlign w:val="center"/>
          </w:tcPr>
          <w:p w14:paraId="7EFAE60A" w14:textId="1278CF6A"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2642" w:type="dxa"/>
            <w:vAlign w:val="center"/>
          </w:tcPr>
          <w:p w14:paraId="7A58024B" w14:textId="3FB9DD5D" w:rsidR="002F1D0C"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9963" w:type="dxa"/>
            <w:vAlign w:val="center"/>
          </w:tcPr>
          <w:p w14:paraId="1D5CF068" w14:textId="34352A18" w:rsidR="002F1D0C" w:rsidRPr="00FA7A40" w:rsidRDefault="002F1D0C" w:rsidP="2E63F672">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Yöneticiler ve saha amirleri, CSİ/CT sorumlulukları konusunda eğitim veya farkındalıktan yoksun olabilir.</w:t>
            </w:r>
            <w:r>
              <w:t xml:space="preserve"> </w:t>
            </w:r>
            <w:r>
              <w:rPr>
                <w:rFonts w:ascii="Times New Roman" w:hAnsi="Times New Roman" w:cs="Times New Roman"/>
                <w:color w:val="000000" w:themeColor="text1"/>
                <w:sz w:val="20"/>
                <w:szCs w:val="20"/>
                <w:lang w:val="en-US"/>
              </w:rPr>
              <w:t xml:space="preserve">Proje, büyük ölçekli işgücü akınını ve yerel yerleşim yerlerine yakın inşaat kamp alanlarının kurulmasını içerdiğinden, düşük farkındalık tacizin normalleşmesine yol açabilir. Böyle bir ortam, projenin Davranış Kuralları'nı zayıflatabilecek ve etkili risk azaltımını engelleyebilecek zehirli bir kültür yaratma riski taşımaktadır.</w:t>
            </w:r>
          </w:p>
        </w:tc>
      </w:tr>
      <w:tr w:rsidR="002F1D0C" w:rsidRPr="00FA7A40" w14:paraId="6BFB1C54" w14:textId="77777777" w:rsidTr="002F1D0C">
        <w:trPr>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4423D012" w14:textId="276674D3"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4</w:t>
            </w:r>
          </w:p>
        </w:tc>
        <w:tc>
          <w:tcPr>
            <w:tcW w:w="6301" w:type="dxa"/>
            <w:vAlign w:val="center"/>
          </w:tcPr>
          <w:p w14:paraId="2CF228E5" w14:textId="397D4366"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AYGM PUB'da toplumsal cinsiyet ve CSİ/CT konusunda sınırlı uzmanlık</w:t>
            </w:r>
          </w:p>
        </w:tc>
        <w:tc>
          <w:tcPr>
            <w:tcW w:w="2844" w:type="dxa"/>
            <w:vAlign w:val="center"/>
          </w:tcPr>
          <w:p w14:paraId="61179150" w14:textId="158F7B3F"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2642" w:type="dxa"/>
            <w:vAlign w:val="center"/>
          </w:tcPr>
          <w:p w14:paraId="602E85C6" w14:textId="3C77D589" w:rsidR="002F1D0C"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9963" w:type="dxa"/>
            <w:vAlign w:val="center"/>
          </w:tcPr>
          <w:p w14:paraId="73CEE35B" w14:textId="5C4D152C"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Proje paydaşları, toplumsal cinsiyete duyarlı yaklaşımları tasarlama ve uygulama konusunda teknik bilgiden yoksun olabilir. Bu durum, sosyal koruma önlemlerinin entegrasyonunu geciktirerek yüklenici uyumluluğunun yetersiz denetlenmesine ve proje döngüsü boyunca CSİ/CT risklerinin yönetiminin zayıflamasına yol açmaktadır.</w:t>
            </w:r>
          </w:p>
        </w:tc>
      </w:tr>
      <w:tr w:rsidR="002F1D0C" w:rsidRPr="00FA7A40" w14:paraId="1F361EDA"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C3B8ADF" w14:textId="3285A6F3"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5</w:t>
            </w:r>
          </w:p>
        </w:tc>
        <w:tc>
          <w:tcPr>
            <w:tcW w:w="6301" w:type="dxa"/>
            <w:vAlign w:val="center"/>
          </w:tcPr>
          <w:p w14:paraId="034B58C5" w14:textId="6506F5A2" w:rsidR="002F1D0C" w:rsidRPr="00B71423"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highlight w:val="yellow"/>
                <w:lang w:val="en-US"/>
              </w:rPr>
            </w:pPr>
            <w:r>
              <w:rPr>
                <w:rFonts w:ascii="Times New Roman" w:hAnsi="Times New Roman" w:cs="Times New Roman"/>
                <w:color w:val="000000" w:themeColor="text1"/>
                <w:sz w:val="20"/>
                <w:szCs w:val="20"/>
                <w:lang w:val="en-US"/>
              </w:rPr>
              <w:t xml:space="preserve">Yüklenicilerde CSİ/CT'ye duyarlı tanımlanmış soruşturma süreçlerinin ve prosedürlerinin bulunmaması</w:t>
            </w:r>
          </w:p>
        </w:tc>
        <w:tc>
          <w:tcPr>
            <w:tcW w:w="2844" w:type="dxa"/>
            <w:vAlign w:val="center"/>
          </w:tcPr>
          <w:p w14:paraId="7C99232D" w14:textId="570A3CD0"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2642" w:type="dxa"/>
            <w:vAlign w:val="center"/>
          </w:tcPr>
          <w:p w14:paraId="19E77C99" w14:textId="3ECBE628"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Önemli</w:t>
            </w:r>
          </w:p>
        </w:tc>
        <w:tc>
          <w:tcPr>
            <w:tcW w:w="9963" w:type="dxa"/>
            <w:vAlign w:val="center"/>
          </w:tcPr>
          <w:p w14:paraId="60A3BEBD" w14:textId="708CA552"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Net protokoller olmadan, şikayetler yanlış ele alınabilir veya göz ardı edilebilir; bu da ikincil zarar riski yaratır. Ayrıca, resmileştirilmiş CSİ/CT prosedürlerinin bulunmaması hesap verebilirliği ve hazırlıklı olmayı azaltır. Bu durum, mağdur/hayatta kalan güvenliğini ve proje hesap verebilirliğini tehlikeye atabilecek tutarsız soruşturmalara yol açan bir usul boşluğu yaratmaktadır.</w:t>
            </w:r>
          </w:p>
        </w:tc>
      </w:tr>
      <w:tr w:rsidR="002F1D0C" w:rsidRPr="00FA7A40" w14:paraId="23EE6E87" w14:textId="77777777" w:rsidTr="005575D0">
        <w:trPr>
          <w:trHeight w:val="364"/>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50B36B69" w14:textId="780E8E4C"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6</w:t>
            </w:r>
          </w:p>
        </w:tc>
        <w:tc>
          <w:tcPr>
            <w:tcW w:w="6301" w:type="dxa"/>
            <w:vAlign w:val="center"/>
          </w:tcPr>
          <w:p w14:paraId="0E2C8925"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İşgücü akınıyla ilişkili CSİ/CT</w:t>
            </w:r>
          </w:p>
        </w:tc>
        <w:tc>
          <w:tcPr>
            <w:tcW w:w="2844" w:type="dxa"/>
            <w:vAlign w:val="center"/>
          </w:tcPr>
          <w:p w14:paraId="5D95F66E"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2642" w:type="dxa"/>
            <w:vAlign w:val="center"/>
          </w:tcPr>
          <w:p w14:paraId="5D1BB752"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9963" w:type="dxa"/>
            <w:vAlign w:val="center"/>
          </w:tcPr>
          <w:p w14:paraId="0B54AB12" w14:textId="379E5551" w:rsidR="002F1D0C" w:rsidRPr="00FA7A40" w:rsidRDefault="00D904F1" w:rsidP="00AF750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Yaklaşık 126 km'lik hat uzunluğu ve proje uygulamasında yer alacağı tahmin edilen 2000 </w:t>
            </w:r>
            <w:commentRangeStart w:id="6"/>
            <w:r>
              <w:rPr>
                <w:rFonts w:ascii="Times New Roman" w:hAnsi="Times New Roman" w:cs="Times New Roman"/>
                <w:color w:val="000000" w:themeColor="text1"/>
                <w:sz w:val="20"/>
                <w:szCs w:val="20"/>
                <w:lang w:val="en-US"/>
              </w:rPr>
              <w:t xml:space="preserve">işçi </w:t>
            </w:r>
            <w:commentRangeEnd w:id="6"/>
            <w:r>
              <w:rPr>
                <w:rStyle w:val="AklamaBavurusu"/>
                <w:color w:val="auto"/>
              </w:rPr>
              <w:commentReference w:id="6"/>
            </w:r>
            <w:r>
              <w:rPr>
                <w:rFonts w:ascii="Times New Roman" w:hAnsi="Times New Roman" w:cs="Times New Roman"/>
                <w:color w:val="000000" w:themeColor="text1"/>
                <w:sz w:val="20"/>
                <w:szCs w:val="20"/>
                <w:lang w:val="en-US"/>
              </w:rPr>
              <w:t xml:space="preserve">dikkate alındığında, kamp alanlarının yerel yerleşim yerlerine, kırsal alanlara ve sakinlere yakınlığı dikkatle değerlendirilmelidir. Sonuç olarak, bu işgücü akını ile yerel çevre arasındaki etkileşim, özellikle kadınlar ve çocuklar olmak üzere yerel halka yönelik CSİ/CT riskini artırabilir. </w:t>
            </w:r>
          </w:p>
        </w:tc>
      </w:tr>
      <w:tr w:rsidR="002F1D0C" w:rsidRPr="00FA7A40" w14:paraId="5B495C3C"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F6FBCC2" w14:textId="05BE3529"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7</w:t>
            </w:r>
          </w:p>
        </w:tc>
        <w:tc>
          <w:tcPr>
            <w:tcW w:w="6301" w:type="dxa"/>
            <w:vAlign w:val="center"/>
          </w:tcPr>
          <w:p w14:paraId="6CA922A9" w14:textId="0D54E611"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Kadınlar ve erkekler arasında CSİ/CT, CSİ/CT'ye ilişkin ulusal yasa/yönetmelikler, kadınların CSİ/CT ile ilgili sorunları ve mevcut CSİ/CT hizmet sağlayıcıları hakkında düşük düzeyde bilgi</w:t>
            </w:r>
          </w:p>
        </w:tc>
        <w:tc>
          <w:tcPr>
            <w:tcW w:w="2844" w:type="dxa"/>
            <w:vAlign w:val="center"/>
          </w:tcPr>
          <w:p w14:paraId="2FA39279" w14:textId="0D0AD9DE"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Önemli</w:t>
            </w:r>
          </w:p>
        </w:tc>
        <w:tc>
          <w:tcPr>
            <w:tcW w:w="2642" w:type="dxa"/>
            <w:vAlign w:val="center"/>
          </w:tcPr>
          <w:p w14:paraId="31370725" w14:textId="7454DC42"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9963" w:type="dxa"/>
            <w:vAlign w:val="center"/>
          </w:tcPr>
          <w:p w14:paraId="7692BC2C" w14:textId="77777777" w:rsidR="002F1D0C"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konusundaki bilgi zayıf veya tamamen eksiktir ya da mevcut yasalar zayıf şekilde uygulanmaktadır; bu da CSİ/CT faillerinin cezasız kalarak hareket edebilmesi anlamına gelmektedir.</w:t>
            </w:r>
          </w:p>
          <w:p w14:paraId="2719F275" w14:textId="05D2B5C5"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İnsanların istismara karşı savunmasızlığını artırmakta ve yardım aramaları için gerekli bilgi ve kaynaklara erişimlerini kısıtlamaktadır. Topluluk üyeleri, projeyi hesap verebilir tutmayabilir veya kendi korunmaları için tasarlanmış CSİ/CT şikayet mekanizmalarını ve yönlendirme yollarını kullanmayabilir.</w:t>
            </w:r>
          </w:p>
        </w:tc>
      </w:tr>
      <w:tr w:rsidR="002F1D0C" w:rsidRPr="00FA7A40" w14:paraId="18BF12F0"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717891D2" w14:textId="34CD2218" w:rsidR="002F1D0C" w:rsidRDefault="002F1D0C" w:rsidP="00BF460D">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8</w:t>
            </w:r>
          </w:p>
        </w:tc>
        <w:tc>
          <w:tcPr>
            <w:tcW w:w="6301" w:type="dxa"/>
            <w:vAlign w:val="center"/>
          </w:tcPr>
          <w:p w14:paraId="397F1CA7" w14:textId="04DE7893" w:rsidR="002F1D0C" w:rsidRPr="00FA7A40" w:rsidRDefault="002F1D0C" w:rsidP="00BF460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İşçiler ile yerel topluluklar arasında doğrudan ve gözetimsiz etkileşimler.</w:t>
            </w:r>
          </w:p>
        </w:tc>
        <w:tc>
          <w:tcPr>
            <w:tcW w:w="2844" w:type="dxa"/>
            <w:vAlign w:val="center"/>
          </w:tcPr>
          <w:p w14:paraId="5C7AF3C7" w14:textId="6B441ADB" w:rsidR="002F1D0C" w:rsidRPr="00FA7A40" w:rsidRDefault="002F1D0C" w:rsidP="00BF46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Düşük</w:t>
            </w:r>
          </w:p>
        </w:tc>
        <w:tc>
          <w:tcPr>
            <w:tcW w:w="2642" w:type="dxa"/>
            <w:vAlign w:val="center"/>
          </w:tcPr>
          <w:p w14:paraId="73E71393" w14:textId="07F0C785" w:rsidR="002F1D0C" w:rsidRDefault="002F1D0C" w:rsidP="00BF46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9963" w:type="dxa"/>
            <w:vAlign w:val="center"/>
          </w:tcPr>
          <w:p w14:paraId="02E6D908" w14:textId="5D1A38E2" w:rsidR="002F1D0C" w:rsidRPr="00FA7A40" w:rsidRDefault="002F1D0C" w:rsidP="2E63F672">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Çalışma saatleri dışında yerel topluluklar ile işçiler (özellikle proje alanı dışından gelenler) arasındaki gözetimsiz etkileşimler önemli riskler oluşturabilir ve CSİ/CT ile ilişkili olaylara yol açabilir. Bu riskler arasında, proje alanı dışından işçi akını, inşaat sahalarının topluluklara yakınlığı ve kamp alanlarında uygun sosyal tesislerin bulunmaması gibi unsurlar yer alabilir.</w:t>
            </w:r>
            <w:r>
              <w:t xml:space="preserve"> </w:t>
            </w:r>
            <w:r>
              <w:rPr>
                <w:rFonts w:ascii="Times New Roman" w:eastAsiaTheme="minorEastAsia" w:hAnsi="Times New Roman" w:cs="Times New Roman"/>
                <w:color w:val="000000" w:themeColor="text1"/>
                <w:sz w:val="20"/>
                <w:szCs w:val="20"/>
                <w:lang w:val="en-US"/>
              </w:rPr>
              <w:t xml:space="preserve">Gözetim ve davranış denetiminin bulunmaması, projenin topluluk koruma standartlarını zayıflatmaktadır. </w:t>
            </w:r>
          </w:p>
        </w:tc>
      </w:tr>
      <w:tr w:rsidR="002F1D0C" w:rsidRPr="00FA7A40" w14:paraId="37F7BB20"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40A05946" w14:textId="374596F5"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9</w:t>
            </w:r>
          </w:p>
        </w:tc>
        <w:tc>
          <w:tcPr>
            <w:tcW w:w="6301" w:type="dxa"/>
            <w:vAlign w:val="center"/>
          </w:tcPr>
          <w:p w14:paraId="628DB0EA"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Kadınların çalışma hayatına katılımına ilişkin önyargılar</w:t>
            </w:r>
          </w:p>
        </w:tc>
        <w:tc>
          <w:tcPr>
            <w:tcW w:w="2844" w:type="dxa"/>
            <w:vAlign w:val="center"/>
          </w:tcPr>
          <w:p w14:paraId="70C8DCB8" w14:textId="03CB8513"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2642" w:type="dxa"/>
            <w:vAlign w:val="center"/>
          </w:tcPr>
          <w:p w14:paraId="64C86545" w14:textId="30A857A4"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Önemli</w:t>
            </w:r>
          </w:p>
        </w:tc>
        <w:tc>
          <w:tcPr>
            <w:tcW w:w="9963" w:type="dxa"/>
            <w:vAlign w:val="center"/>
          </w:tcPr>
          <w:p w14:paraId="76E1ED97" w14:textId="502A6621"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Kadınlara yönelik yaygın ayrımcılık, istismara karşı savunmasızlığa ve yardım arama konusunda kaynak yetersizliğine yol açmaktadır. Bu durum kadınların ekonomik katılımını sınırlamakta ve güç dengesizliklerini pekiştirerek kadınların varlığını değersizleştirebilecek ve onları CSİ/CT risklerine ve ayrımcı uygulamalara daha fazla maruz bırakabilecek bir işyeri kültürü yaratmaktadır.</w:t>
            </w:r>
          </w:p>
        </w:tc>
      </w:tr>
      <w:tr w:rsidR="002F1D0C" w:rsidRPr="00FA7A40" w14:paraId="580EDF99" w14:textId="77777777" w:rsidTr="002F1D0C">
        <w:trPr>
          <w:trHeight w:val="228"/>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397DEC3" w14:textId="070924FB" w:rsidR="002F1D0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10</w:t>
            </w:r>
          </w:p>
        </w:tc>
        <w:tc>
          <w:tcPr>
            <w:tcW w:w="6301" w:type="dxa"/>
            <w:vAlign w:val="center"/>
          </w:tcPr>
          <w:p w14:paraId="1449A2A7" w14:textId="2F34A34F"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Mültecilerin veya Türkçe konuşmayanların kırsal alanlardaki hizmetlere sınırlı erişimi (dil engeli, düşük eğitim düzeyi, yoksulluk gibi çeşitli nedenlerle)</w:t>
            </w:r>
          </w:p>
        </w:tc>
        <w:tc>
          <w:tcPr>
            <w:tcW w:w="2844" w:type="dxa"/>
            <w:vAlign w:val="center"/>
          </w:tcPr>
          <w:p w14:paraId="67F1A2E7" w14:textId="08846723"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Önemli</w:t>
            </w:r>
          </w:p>
        </w:tc>
        <w:tc>
          <w:tcPr>
            <w:tcW w:w="2642" w:type="dxa"/>
            <w:vAlign w:val="center"/>
          </w:tcPr>
          <w:p w14:paraId="3C0367A3" w14:textId="5A755C3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Önemli</w:t>
            </w:r>
          </w:p>
        </w:tc>
        <w:tc>
          <w:tcPr>
            <w:tcW w:w="9963" w:type="dxa"/>
            <w:vAlign w:val="center"/>
          </w:tcPr>
          <w:p w14:paraId="69ABAB62" w14:textId="688FC0E1" w:rsidR="002F1D0C" w:rsidRPr="00FA7A40" w:rsidRDefault="00525D0A" w:rsidP="008D393D">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Proje alanında </w:t>
            </w:r>
            <w:commentRangeStart w:id="7"/>
            <w:r>
              <w:rPr>
                <w:rFonts w:ascii="Times New Roman" w:eastAsiaTheme="minorEastAsia" w:hAnsi="Times New Roman" w:cs="Times New Roman"/>
                <w:color w:val="000000" w:themeColor="text1"/>
                <w:sz w:val="20"/>
                <w:szCs w:val="20"/>
                <w:lang w:val="en-US"/>
              </w:rPr>
              <w:t xml:space="preserve">802 hanenin 71'inde </w:t>
            </w:r>
            <w:commentRangeEnd w:id="7"/>
            <w:r>
              <w:rPr>
                <w:rStyle w:val="AklamaBavurusu"/>
                <w:color w:val="auto"/>
              </w:rPr>
              <w:commentReference w:id="7"/>
            </w:r>
            <w:r>
              <w:rPr>
                <w:rFonts w:ascii="Times New Roman" w:eastAsiaTheme="minorEastAsia" w:hAnsi="Times New Roman" w:cs="Times New Roman"/>
                <w:color w:val="000000" w:themeColor="text1"/>
                <w:sz w:val="20"/>
                <w:szCs w:val="20"/>
                <w:lang w:val="en-US"/>
              </w:rPr>
              <w:t xml:space="preserve">Türkçe dışında diller konuşulmaktadır. Bu durum, insanların istismara karşı savunmasızlığını artırmakta ve yardım aramaları için gerekli bilgi ve kaynaklara erişimlerini kısıtlamaktadır. Dilsel ve sosyoekonomik izolasyon, mültecileri projenin yönlendirme yollarından ve CSİ/CT koruma önlemlerinden fiilen kopardığından, kritik desteğe erişimlerini engelleyebilir.</w:t>
            </w:r>
          </w:p>
        </w:tc>
      </w:tr>
      <w:tr w:rsidR="002F1D0C" w:rsidRPr="00FA7A40" w14:paraId="4DF61537" w14:textId="77777777" w:rsidTr="002F1D0C">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2C704CF" w14:textId="162E17A6"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11</w:t>
            </w:r>
          </w:p>
        </w:tc>
        <w:tc>
          <w:tcPr>
            <w:tcW w:w="6301" w:type="dxa"/>
            <w:vAlign w:val="center"/>
          </w:tcPr>
          <w:p w14:paraId="08105883" w14:textId="7FCC425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Güvenli ulaşım, aydınlatma, bakım hizmetleri, danışmanlık ve destek hizmetleri gibi CSİ/CT'ye duyarlı kentsel hizmetlerin yetersizliği </w:t>
            </w:r>
          </w:p>
        </w:tc>
        <w:tc>
          <w:tcPr>
            <w:tcW w:w="2844" w:type="dxa"/>
            <w:vAlign w:val="center"/>
          </w:tcPr>
          <w:p w14:paraId="76204EDC" w14:textId="5395D990"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Orta</w:t>
            </w:r>
          </w:p>
        </w:tc>
        <w:tc>
          <w:tcPr>
            <w:tcW w:w="2642" w:type="dxa"/>
            <w:vAlign w:val="center"/>
          </w:tcPr>
          <w:p w14:paraId="507E53BE" w14:textId="74E01516"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Orta</w:t>
            </w:r>
          </w:p>
        </w:tc>
        <w:tc>
          <w:tcPr>
            <w:tcW w:w="9963" w:type="dxa"/>
            <w:vAlign w:val="center"/>
          </w:tcPr>
          <w:p w14:paraId="195F89C0" w14:textId="3682637D" w:rsidR="002F1D0C" w:rsidRPr="005D5237"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Sınırlı CSİ/CT'ye duyarlı kentsel hizmetler (örn. güvenli ulaşım, aydınlatma, destek hizmetleri), kadınlar ve savunmasız gruplar için riskleri artırabilir. Bu hizmet eksiklikleri, proje alanları çevresinde güvenliği ve erişimi azaltabilir.</w:t>
            </w:r>
            <w:r>
              <w:t xml:space="preserve"> </w:t>
            </w:r>
            <w:r>
              <w:rPr>
                <w:rFonts w:ascii="Times New Roman" w:eastAsiaTheme="minorEastAsia" w:hAnsi="Times New Roman" w:cs="Times New Roman"/>
                <w:bCs/>
                <w:color w:val="000000" w:themeColor="text1"/>
                <w:sz w:val="20"/>
                <w:szCs w:val="20"/>
              </w:rPr>
              <w:t xml:space="preserve">Bu durum, mekânsal savunmasızlıkları artırarak ulaşım ve kamusal alanlarda taciz riskini doğrudan yükseltmekte, aynı zamanda projenin mağdurlar/hayatta kalanlar ve işçiler için kapsamlı bir güvenlik ağı sağlama kapasitesini sınırlamaktadır.</w:t>
            </w:r>
          </w:p>
        </w:tc>
      </w:tr>
      <w:tr w:rsidR="002F1D0C" w:rsidRPr="00FA7A40" w14:paraId="2FE4044F" w14:textId="77777777" w:rsidTr="002F1D0C">
        <w:trPr>
          <w:trHeight w:val="575"/>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7498AFE7" w14:textId="24B1AD22"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12</w:t>
            </w:r>
          </w:p>
        </w:tc>
        <w:tc>
          <w:tcPr>
            <w:tcW w:w="6301" w:type="dxa"/>
            <w:vAlign w:val="center"/>
          </w:tcPr>
          <w:p w14:paraId="20A11CD1"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Proje illerinde CSİ/CT hizmet sağlayıcılarının bulunmaması ve/veya yetersiz olması</w:t>
            </w:r>
          </w:p>
        </w:tc>
        <w:tc>
          <w:tcPr>
            <w:tcW w:w="2844" w:type="dxa"/>
            <w:vAlign w:val="center"/>
          </w:tcPr>
          <w:p w14:paraId="5FDB46FB" w14:textId="71A16B94"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Orta</w:t>
            </w:r>
          </w:p>
        </w:tc>
        <w:tc>
          <w:tcPr>
            <w:tcW w:w="2642" w:type="dxa"/>
            <w:vAlign w:val="center"/>
          </w:tcPr>
          <w:p w14:paraId="7A3EE8D7" w14:textId="58A8F045"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Önemli</w:t>
            </w:r>
          </w:p>
        </w:tc>
        <w:tc>
          <w:tcPr>
            <w:tcW w:w="9963" w:type="dxa"/>
            <w:vAlign w:val="center"/>
          </w:tcPr>
          <w:p w14:paraId="5A778241" w14:textId="00BF939E"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İnsanların yardım aramaları için gerekli bilgi ve kaynaklara erişimini kısıtlamaktadır. Bu durum, projenin zamanında tıbbi, hukuki veya psikolojik destek sunma kapasitesini sınırlamakta, yönlendirme yolunu fiilen kesintiye uğratmakta ve mağdurları/hayatta kalanları gerekli yardımdan yoksun bırakmaktadır.</w:t>
            </w:r>
          </w:p>
        </w:tc>
      </w:tr>
      <w:tr w:rsidR="002F1D0C" w:rsidRPr="00FA7A40" w14:paraId="432FB73A"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598607FD" w14:textId="27942CF0"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13</w:t>
            </w:r>
          </w:p>
        </w:tc>
        <w:tc>
          <w:tcPr>
            <w:tcW w:w="6301" w:type="dxa"/>
            <w:vAlign w:val="center"/>
          </w:tcPr>
          <w:p w14:paraId="7F4B86E1" w14:textId="062C0ABE"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CSİ/CT mağdurlarının/hayatta kalanlarının hizmet sağlayıcılara başvuru oranının düşüklüğü / CSİ/CT vakalarının eksik bildirilmesi</w:t>
            </w:r>
          </w:p>
        </w:tc>
        <w:tc>
          <w:tcPr>
            <w:tcW w:w="2844" w:type="dxa"/>
            <w:vAlign w:val="center"/>
          </w:tcPr>
          <w:p w14:paraId="0F82650B" w14:textId="6416694C"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Önemli</w:t>
            </w:r>
          </w:p>
        </w:tc>
        <w:tc>
          <w:tcPr>
            <w:tcW w:w="2642" w:type="dxa"/>
            <w:vAlign w:val="center"/>
          </w:tcPr>
          <w:p w14:paraId="186B21DA" w14:textId="4AD26778"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Önemli</w:t>
            </w:r>
          </w:p>
        </w:tc>
        <w:tc>
          <w:tcPr>
            <w:tcW w:w="9963" w:type="dxa"/>
            <w:vAlign w:val="center"/>
          </w:tcPr>
          <w:p w14:paraId="60FE6D47" w14:textId="63DE7BBF"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Bildirilmeyen ve dolayısıyla yönetilmeyen ve çözülmeyen CSİ/CT vakalarının yaygınlığı. Bu durum, sorunun gerçek boyutunu gizlemekte ve genellikle misilleme korkusu, toplumsal damgalanma veya projenin gizlilik ve yönlendirme protokollerine duyulan güven eksikliğinden kaynaklanarak mağdurların/hayatta kalanların hayat kurtarıcı bakıma erişmesini engellemektedir.</w:t>
            </w:r>
          </w:p>
        </w:tc>
      </w:tr>
      <w:tr w:rsidR="002F1D0C" w:rsidRPr="00FA7A40" w14:paraId="78EACB40"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1895059D" w14:textId="017AF294"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14</w:t>
            </w:r>
          </w:p>
        </w:tc>
        <w:tc>
          <w:tcPr>
            <w:tcW w:w="6301" w:type="dxa"/>
            <w:vAlign w:val="center"/>
          </w:tcPr>
          <w:p w14:paraId="28050DD6"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İstihdam süreçlerinin sunumunun cinsel istismar için kullanılabilmesi</w:t>
            </w:r>
          </w:p>
        </w:tc>
        <w:tc>
          <w:tcPr>
            <w:tcW w:w="2844" w:type="dxa"/>
            <w:vAlign w:val="center"/>
          </w:tcPr>
          <w:p w14:paraId="64F08E40"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Düşük</w:t>
            </w:r>
          </w:p>
        </w:tc>
        <w:tc>
          <w:tcPr>
            <w:tcW w:w="2642" w:type="dxa"/>
            <w:vAlign w:val="center"/>
          </w:tcPr>
          <w:p w14:paraId="7B8E2056" w14:textId="5CB541C0"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Yüksek</w:t>
            </w:r>
          </w:p>
        </w:tc>
        <w:tc>
          <w:tcPr>
            <w:tcW w:w="9963" w:type="dxa"/>
            <w:vAlign w:val="center"/>
          </w:tcPr>
          <w:p w14:paraId="167B8373" w14:textId="099CAE6F"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Kadınlara yönelik yaygın ayrımcılık, istismara karşı savunmasızlığa ve yardım arama konusunda kaynak yetersizliğine yol açmaktadır. Bu durum, doğrudan çalışma haklarını ihlal etmekte ve projenin etik bütünlüğünü zedelemektedir.</w:t>
            </w:r>
          </w:p>
        </w:tc>
      </w:tr>
      <w:tr w:rsidR="002F1D0C" w:rsidRPr="00FA7A40" w14:paraId="7BB1F739"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28446B7" w14:textId="220EC78B"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15</w:t>
            </w:r>
          </w:p>
        </w:tc>
        <w:tc>
          <w:tcPr>
            <w:tcW w:w="6301" w:type="dxa"/>
            <w:vAlign w:val="center"/>
          </w:tcPr>
          <w:p w14:paraId="0799CD0D"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Şikayet mekanizmasında CSİ/CT vakalarının ele alınması için özel/ayrı kanalların bulunmaması </w:t>
            </w:r>
          </w:p>
        </w:tc>
        <w:tc>
          <w:tcPr>
            <w:tcW w:w="2844" w:type="dxa"/>
            <w:vAlign w:val="center"/>
          </w:tcPr>
          <w:p w14:paraId="325C14C9"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Düşük</w:t>
            </w:r>
          </w:p>
        </w:tc>
        <w:tc>
          <w:tcPr>
            <w:tcW w:w="2642" w:type="dxa"/>
            <w:vAlign w:val="center"/>
          </w:tcPr>
          <w:p w14:paraId="11962B2E"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Düşük</w:t>
            </w:r>
          </w:p>
        </w:tc>
        <w:tc>
          <w:tcPr>
            <w:tcW w:w="9963" w:type="dxa"/>
            <w:vAlign w:val="center"/>
          </w:tcPr>
          <w:p w14:paraId="4903341D" w14:textId="3098F067"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Bildirilmeyen ve dolayısıyla yönetilmeyen ve çözülmeyen CSİ/CT vakalarının yaygınlığı. Bu durum, mağdurları/hayatta kalanları genel veya kamuya açık bildirim hatlarını kullanmaya zorlamakta, yüksek gizlilik riskleri yaratmakta ve teşhir olma korkusu veya yetersiz uzman müdahalesi nedeniyle bildirimi caydırmaktadır.</w:t>
            </w:r>
          </w:p>
        </w:tc>
      </w:tr>
      <w:tr w:rsidR="002F1D0C" w:rsidRPr="00FA7A40" w14:paraId="52208A49"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75662ED4" w14:textId="0FB30ED9"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16</w:t>
            </w:r>
          </w:p>
        </w:tc>
        <w:tc>
          <w:tcPr>
            <w:tcW w:w="6301" w:type="dxa"/>
            <w:vAlign w:val="center"/>
          </w:tcPr>
          <w:p w14:paraId="6C1F7539"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Hassas verilerin (örn. mağdur/hayatta kalan başvurusu) gizliliğinin sağlanamaması</w:t>
            </w:r>
          </w:p>
        </w:tc>
        <w:tc>
          <w:tcPr>
            <w:tcW w:w="2844" w:type="dxa"/>
            <w:vAlign w:val="center"/>
          </w:tcPr>
          <w:p w14:paraId="0DE0EF71"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Düşük</w:t>
            </w:r>
          </w:p>
        </w:tc>
        <w:tc>
          <w:tcPr>
            <w:tcW w:w="2642" w:type="dxa"/>
            <w:vAlign w:val="center"/>
          </w:tcPr>
          <w:p w14:paraId="094E6C8A"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Düşük</w:t>
            </w:r>
          </w:p>
        </w:tc>
        <w:tc>
          <w:tcPr>
            <w:tcW w:w="9963" w:type="dxa"/>
            <w:vAlign w:val="center"/>
          </w:tcPr>
          <w:p w14:paraId="20A69D3C" w14:textId="3F3DA94E"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politika ve prosedürlerini zayıflatmakta ve genellikle diğer CSİ/CT risk faktörlerini artırmaktadır. Mağdurları/hayatta kalanları olası misillemeye, toplumsal damgalanmaya ve yeniden travmatize olmaya maruz bırakırken, etkili bir CSİ/CT şikayet mekanizması için gerekli olan bütünlüğü ve güveni sistematik olarak zedelemektedir.</w:t>
            </w:r>
          </w:p>
        </w:tc>
      </w:tr>
      <w:tr w:rsidR="002F1D0C" w:rsidRPr="00FA7A40" w14:paraId="76C26C8D"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088A87ED" w14:textId="29294E35"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17</w:t>
            </w:r>
          </w:p>
        </w:tc>
        <w:tc>
          <w:tcPr>
            <w:tcW w:w="6301" w:type="dxa"/>
            <w:vAlign w:val="center"/>
          </w:tcPr>
          <w:p w14:paraId="458D3CBB"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Proje uygulayıcı kurumu, yüklenici ve CSİ/CT hizmet sağlayıcıları ile diğer temel paydaşlar arasında CSİ/CT konusunda koordinasyon eksikliği</w:t>
            </w:r>
          </w:p>
        </w:tc>
        <w:tc>
          <w:tcPr>
            <w:tcW w:w="2844" w:type="dxa"/>
            <w:vAlign w:val="center"/>
          </w:tcPr>
          <w:p w14:paraId="565F9D29"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Düşük</w:t>
            </w:r>
          </w:p>
        </w:tc>
        <w:tc>
          <w:tcPr>
            <w:tcW w:w="2642" w:type="dxa"/>
            <w:vAlign w:val="center"/>
          </w:tcPr>
          <w:p w14:paraId="2D1D15D2"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Düşük</w:t>
            </w:r>
          </w:p>
        </w:tc>
        <w:tc>
          <w:tcPr>
            <w:tcW w:w="9963" w:type="dxa"/>
            <w:vAlign w:val="center"/>
          </w:tcPr>
          <w:p w14:paraId="4FDAF0A8" w14:textId="2B09CA9A"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politika ve prosedürlerini zayıflatmakta ve genellikle diğer CSİ/CT risk faktörlerini artırmaktadır. Bu durum, parçalanmış müdahale yolları ve kopuk iletişim kanalları yaratarak mağdur/hayatta kalan desteğini geciktirmekte ve proje kurumsal hiyerarşisi genelinde CSİ/CT risklerinin etkili yönetimini engellemektedir.</w:t>
            </w:r>
          </w:p>
        </w:tc>
      </w:tr>
      <w:tr w:rsidR="002F1D0C" w:rsidRPr="00FA7A40" w14:paraId="723B5C5A"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1BCB5078" w14:textId="073DA47E"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18</w:t>
            </w:r>
          </w:p>
        </w:tc>
        <w:tc>
          <w:tcPr>
            <w:tcW w:w="6301" w:type="dxa"/>
            <w:vAlign w:val="center"/>
          </w:tcPr>
          <w:p w14:paraId="61DABDB8" w14:textId="0D1D4DEE"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Proje tesisleriyle ilgili güvenlik sorunları</w:t>
            </w:r>
          </w:p>
        </w:tc>
        <w:tc>
          <w:tcPr>
            <w:tcW w:w="2844" w:type="dxa"/>
            <w:vAlign w:val="center"/>
          </w:tcPr>
          <w:p w14:paraId="1FAD298B" w14:textId="7D5A5289"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Düşük</w:t>
            </w:r>
          </w:p>
        </w:tc>
        <w:tc>
          <w:tcPr>
            <w:tcW w:w="2642" w:type="dxa"/>
            <w:vAlign w:val="center"/>
          </w:tcPr>
          <w:p w14:paraId="511F69F9" w14:textId="7E82DCB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9963" w:type="dxa"/>
            <w:vAlign w:val="center"/>
          </w:tcPr>
          <w:p w14:paraId="3D31634D" w14:textId="3E664DEB"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İnsanların istismara karşı savunmasızlığını artırmakta ve yardım aramaları için gerekli bilgi ve kaynaklara erişimlerini kısıtlamaktadır. Proje tesislerindeki yetersiz güvenlik, işçilerin ve topluluk üyelerinin CSİ/CT olaylarına karşı savunmasızlığını artıran denetimsiz ortamlar yaratmaktadır.</w:t>
            </w:r>
          </w:p>
        </w:tc>
      </w:tr>
      <w:tr w:rsidR="002F1D0C" w:rsidRPr="00FA7A40" w14:paraId="03284158"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A52CE39" w14:textId="4F996A46"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lastRenderedPageBreak/>
              <w:t xml:space="preserve">19</w:t>
            </w:r>
          </w:p>
        </w:tc>
        <w:tc>
          <w:tcPr>
            <w:tcW w:w="6301" w:type="dxa"/>
            <w:vAlign w:val="center"/>
          </w:tcPr>
          <w:p w14:paraId="05BE3F58"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CSİ/CT'nin proje izleme süreçlerine dahil edilmemesi</w:t>
            </w:r>
          </w:p>
        </w:tc>
        <w:tc>
          <w:tcPr>
            <w:tcW w:w="2844" w:type="dxa"/>
            <w:vAlign w:val="center"/>
          </w:tcPr>
          <w:p w14:paraId="6E90D640"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Düşük</w:t>
            </w:r>
          </w:p>
        </w:tc>
        <w:tc>
          <w:tcPr>
            <w:tcW w:w="2642" w:type="dxa"/>
            <w:vAlign w:val="center"/>
          </w:tcPr>
          <w:p w14:paraId="457859CC"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Düşük</w:t>
            </w:r>
          </w:p>
        </w:tc>
        <w:tc>
          <w:tcPr>
            <w:tcW w:w="9963" w:type="dxa"/>
            <w:vAlign w:val="center"/>
          </w:tcPr>
          <w:p w14:paraId="3519CD63" w14:textId="3C9A4FFD"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politika ve prosedürlerini zayıflatmakta ve genellikle diğer CSİ/CT risk faktörlerini artırmaktadır. CSİ/CT'nin izleme süreçlerinin dışında bırakılması, olayların ve uyumsuzlukların zamanında tespit edilmesini engellemekte ve projenin hesap verebilirlik mekanizmalarının uygulanamaz hale gelmesine yol açmaktadır.</w:t>
            </w:r>
          </w:p>
        </w:tc>
      </w:tr>
      <w:tr w:rsidR="002F1D0C" w:rsidRPr="00FA7A40" w14:paraId="224760A0"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3A5F6C70" w14:textId="435450AD" w:rsidR="002F1D0C" w:rsidRPr="00FA7A40" w:rsidRDefault="002F1D0C" w:rsidP="002310F0">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20</w:t>
            </w:r>
          </w:p>
        </w:tc>
        <w:tc>
          <w:tcPr>
            <w:tcW w:w="6301" w:type="dxa"/>
            <w:vAlign w:val="center"/>
          </w:tcPr>
          <w:p w14:paraId="79CFE99D"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Altyapı sektöründe kadın istihdamının düşüklüğü</w:t>
            </w:r>
          </w:p>
        </w:tc>
        <w:tc>
          <w:tcPr>
            <w:tcW w:w="2844" w:type="dxa"/>
            <w:vAlign w:val="center"/>
          </w:tcPr>
          <w:p w14:paraId="38423694" w14:textId="67AB5161"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Önemli</w:t>
            </w:r>
          </w:p>
        </w:tc>
        <w:tc>
          <w:tcPr>
            <w:tcW w:w="2642" w:type="dxa"/>
            <w:vAlign w:val="center"/>
          </w:tcPr>
          <w:p w14:paraId="5F34A00F" w14:textId="325DF013"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9963" w:type="dxa"/>
            <w:vAlign w:val="center"/>
          </w:tcPr>
          <w:p w14:paraId="00ED468E" w14:textId="2195B4CE"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Yapısal ve kültürel engeller, kadınların teknik ve karar alma rollerinde yetersiz temsil edilmesine yol açmaktadır. Ayrıca, düşük kadın temsili, tacizi normalleştirebilecek ve mağdurları/hayatta kalanları izole edebilecek aşırı erkeksi bir kültürü besleyerek CSİ/CT risklerini önemli ölçüde artırmaktadır.</w:t>
            </w:r>
          </w:p>
        </w:tc>
      </w:tr>
      <w:tr w:rsidR="002F1D0C" w:rsidRPr="00FA7A40" w14:paraId="446BA0B9"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752A970" w14:textId="06B0066E" w:rsidR="002F1D0C" w:rsidRPr="00FA7A40" w:rsidRDefault="002F1D0C" w:rsidP="002310F0">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21</w:t>
            </w:r>
          </w:p>
        </w:tc>
        <w:tc>
          <w:tcPr>
            <w:tcW w:w="6301" w:type="dxa"/>
            <w:vAlign w:val="center"/>
          </w:tcPr>
          <w:p w14:paraId="293AFE93"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Paydaş katılım süreçlerinde kadınların düşük katılımı</w:t>
            </w:r>
          </w:p>
        </w:tc>
        <w:tc>
          <w:tcPr>
            <w:tcW w:w="2844" w:type="dxa"/>
            <w:vAlign w:val="center"/>
          </w:tcPr>
          <w:p w14:paraId="5745172B" w14:textId="58CFC9B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2642" w:type="dxa"/>
            <w:vAlign w:val="center"/>
          </w:tcPr>
          <w:p w14:paraId="1096B2F0" w14:textId="367A4FE4"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9963" w:type="dxa"/>
            <w:vAlign w:val="center"/>
          </w:tcPr>
          <w:p w14:paraId="005B68F9" w14:textId="5C81176C"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Kültürel normlar, zaman kısıtları veya hedefe yönelik erişim çalışmalarının eksikliği, kadınların istişarelere katılımını engelleyebilir ve bu durum, projenin toplumsal cinsiyete özgü güvenlik kaygılarını tespit etme kapasitesini kısıtlayarak önemli sosyal koruma boşluklarına ve etkisiz CSİ/CT azaltım stratejilerine yol açmaktadır.</w:t>
            </w:r>
          </w:p>
        </w:tc>
      </w:tr>
      <w:tr w:rsidR="002F1D0C" w:rsidRPr="00FA7A40" w14:paraId="3119A304" w14:textId="77777777" w:rsidTr="68B0F15F">
        <w:trPr>
          <w:trHeight w:val="615"/>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34EE5E3B" w14:textId="7A682B6E" w:rsidR="002F1D0C" w:rsidRPr="00FA7A40" w:rsidRDefault="002F1D0C" w:rsidP="002310F0">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22</w:t>
            </w:r>
          </w:p>
        </w:tc>
        <w:tc>
          <w:tcPr>
            <w:tcW w:w="6301" w:type="dxa"/>
            <w:vAlign w:val="center"/>
          </w:tcPr>
          <w:p w14:paraId="37A1D301" w14:textId="5855D943"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İnşaat projelerinde yüksek işçi devir hızı</w:t>
            </w:r>
          </w:p>
        </w:tc>
        <w:tc>
          <w:tcPr>
            <w:tcW w:w="2844" w:type="dxa"/>
            <w:vAlign w:val="center"/>
          </w:tcPr>
          <w:p w14:paraId="56289179" w14:textId="3787F90B"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Önemli</w:t>
            </w:r>
          </w:p>
        </w:tc>
        <w:tc>
          <w:tcPr>
            <w:tcW w:w="2642" w:type="dxa"/>
            <w:vAlign w:val="center"/>
          </w:tcPr>
          <w:p w14:paraId="6D61AD11" w14:textId="58B875B1"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w:t>
            </w:r>
          </w:p>
        </w:tc>
        <w:tc>
          <w:tcPr>
            <w:tcW w:w="9963" w:type="dxa"/>
            <w:vAlign w:val="center"/>
          </w:tcPr>
          <w:p w14:paraId="57394469" w14:textId="1D80292D"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Yeni personelin sürekli işe alınması, tutarsız eğitim riskini ve Davranış Kuralları'na uyumda boşlukları artırmaktadır.</w:t>
            </w:r>
          </w:p>
        </w:tc>
      </w:tr>
    </w:tbl>
    <w:p w14:paraId="55CADB81" w14:textId="77777777" w:rsidR="00C66C0A" w:rsidRDefault="00C66C0A" w:rsidP="00C66C0A">
      <w:pPr>
        <w:keepNext/>
        <w:spacing w:before="240" w:after="160" w:line="259" w:lineRule="auto"/>
        <w:jc w:val="both"/>
        <w:rPr>
          <w:rFonts w:ascii="Times New Roman" w:hAnsi="Times New Roman" w:cs="Times New Roman"/>
          <w:sz w:val="18"/>
          <w:szCs w:val="18"/>
        </w:rPr>
      </w:pPr>
    </w:p>
    <w:p w14:paraId="32EB2907" w14:textId="6BC65F1E" w:rsidR="00C66C0A" w:rsidRDefault="00C66C0A" w:rsidP="00C66C0A">
      <w:pPr>
        <w:keepNext/>
        <w:spacing w:before="240" w:after="160" w:line="259" w:lineRule="auto"/>
        <w:jc w:val="both"/>
        <w:rPr>
          <w:rFonts w:ascii="Times New Roman" w:hAnsi="Times New Roman" w:cs="Times New Roman"/>
          <w:b/>
          <w:bCs/>
          <w:i/>
          <w:iCs/>
          <w:color w:val="000000" w:themeColor="text1"/>
          <w:sz w:val="22"/>
          <w:szCs w:val="22"/>
        </w:rPr>
      </w:pPr>
      <w:r>
        <w:rPr>
          <w:rFonts w:ascii="Times New Roman" w:hAnsi="Times New Roman" w:cs="Times New Roman"/>
          <w:b/>
          <w:bCs/>
          <w:i/>
          <w:iCs/>
          <w:sz w:val="22"/>
          <w:szCs w:val="22"/>
        </w:rPr>
        <w:t xml:space="preserve">*</w:t>
      </w:r>
      <w:r>
        <w:rPr>
          <w:rFonts w:ascii="Times New Roman" w:hAnsi="Times New Roman" w:cs="Times New Roman"/>
          <w:b/>
          <w:bCs/>
          <w:i/>
          <w:iCs/>
          <w:color w:val="000000" w:themeColor="text1"/>
          <w:sz w:val="22"/>
          <w:szCs w:val="22"/>
        </w:rPr>
        <w:t xml:space="preserve">Aşağıdaki tabloda yer alan tüm faaliyetler altı ayda bir gözden geçirilecek ve değerlendirilecek, bu değerlendirmeler ve ihtiyaçlar doğrultusunda güncellenecektir; bu değerlendirme ve revizyonlarda paydaşların, özellikle savunmasız grupların geri bildirimleri ve ihtiyaçları dikkate alınacaktır.</w:t>
      </w:r>
    </w:p>
    <w:p w14:paraId="0597D8F5" w14:textId="7A3CA75E" w:rsidR="00B81226" w:rsidRPr="00C66C0A" w:rsidRDefault="00B81226" w:rsidP="00C66C0A">
      <w:pPr>
        <w:keepNext/>
        <w:spacing w:before="240" w:after="160" w:line="259" w:lineRule="auto"/>
        <w:jc w:val="both"/>
        <w:rPr>
          <w:rFonts w:ascii="Times New Roman" w:hAnsi="Times New Roman" w:cs="Times New Roman"/>
          <w:b/>
          <w:bCs/>
          <w:i/>
          <w:iCs/>
          <w:color w:val="000000" w:themeColor="text1"/>
          <w:sz w:val="22"/>
          <w:szCs w:val="22"/>
          <w:lang w:val="en-US"/>
        </w:rPr>
      </w:pPr>
      <w:r>
        <w:rPr>
          <w:rFonts w:ascii="Times New Roman" w:hAnsi="Times New Roman" w:cs="Times New Roman"/>
          <w:b/>
          <w:bCs/>
          <w:i/>
          <w:iCs/>
          <w:color w:val="000000" w:themeColor="text1"/>
          <w:sz w:val="22"/>
          <w:szCs w:val="22"/>
        </w:rPr>
        <w:t xml:space="preserve">* Aşağıdaki tabloda tanımlanan tüm eylemler için toplam </w:t>
      </w:r>
      <w:commentRangeStart w:id="8"/>
      <w:r>
        <w:rPr>
          <w:rFonts w:ascii="Times New Roman" w:hAnsi="Times New Roman" w:cs="Times New Roman"/>
          <w:b/>
          <w:bCs/>
          <w:i/>
          <w:iCs/>
          <w:color w:val="000000" w:themeColor="text1"/>
          <w:sz w:val="22"/>
          <w:szCs w:val="22"/>
        </w:rPr>
        <w:t xml:space="preserve">200.000 </w:t>
      </w:r>
      <w:commentRangeEnd w:id="8"/>
      <w:r>
        <w:rPr>
          <w:rStyle w:val="AklamaBavurusu"/>
        </w:rPr>
        <w:commentReference w:id="8"/>
      </w:r>
      <w:r>
        <w:rPr>
          <w:rFonts w:ascii="Times New Roman" w:hAnsi="Times New Roman" w:cs="Times New Roman"/>
          <w:b/>
          <w:bCs/>
          <w:i/>
          <w:iCs/>
          <w:color w:val="000000" w:themeColor="text1"/>
          <w:sz w:val="22"/>
          <w:szCs w:val="22"/>
        </w:rPr>
        <w:t xml:space="preserve">TL bütçe ayrılmıştır ve bu bütçe ilgili kalemlere göre dağıtılacaktır.</w:t>
      </w:r>
    </w:p>
    <w:tbl>
      <w:tblPr>
        <w:tblStyle w:val="TabloKlavuzu"/>
        <w:tblW w:w="23040" w:type="dxa"/>
        <w:tblInd w:w="-1085" w:type="dxa"/>
        <w:tblLayout w:type="fixed"/>
        <w:tblLook w:val="04A0" w:firstRow="1" w:lastRow="0" w:firstColumn="1" w:lastColumn="0" w:noHBand="0" w:noVBand="1"/>
      </w:tblPr>
      <w:tblGrid>
        <w:gridCol w:w="2970"/>
        <w:gridCol w:w="1800"/>
        <w:gridCol w:w="4140"/>
        <w:gridCol w:w="1530"/>
        <w:gridCol w:w="1710"/>
        <w:gridCol w:w="4140"/>
        <w:gridCol w:w="2160"/>
        <w:gridCol w:w="4590"/>
      </w:tblGrid>
      <w:tr w:rsidR="002D72DE" w:rsidRPr="000C38B5" w14:paraId="1A655970" w14:textId="77777777" w:rsidTr="002D72DE">
        <w:tc>
          <w:tcPr>
            <w:tcW w:w="2970" w:type="dxa"/>
            <w:vAlign w:val="center"/>
          </w:tcPr>
          <w:p w14:paraId="2528361E" w14:textId="75A656D0" w:rsidR="002D72DE" w:rsidRPr="000C38B5" w:rsidRDefault="002D72DE" w:rsidP="00D65564">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Yukarıda Tanımlanan Risklerin Referans Numaraları</w:t>
            </w:r>
          </w:p>
        </w:tc>
        <w:tc>
          <w:tcPr>
            <w:tcW w:w="1800" w:type="dxa"/>
            <w:shd w:val="clear" w:color="auto" w:fill="FFFFFF" w:themeFill="background1"/>
            <w:vAlign w:val="center"/>
          </w:tcPr>
          <w:p w14:paraId="1171277C" w14:textId="198A5084" w:rsidR="002D72DE" w:rsidRPr="000C38B5" w:rsidRDefault="002D72DE" w:rsidP="00D65564">
            <w:pPr>
              <w:jc w:val="center"/>
              <w:rPr>
                <w:rFonts w:ascii="Times New Roman"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Riski Ele Almaya Yönelik Azaltım Faaliyeti</w:t>
            </w:r>
          </w:p>
        </w:tc>
        <w:tc>
          <w:tcPr>
            <w:tcW w:w="4140" w:type="dxa"/>
            <w:vAlign w:val="center"/>
          </w:tcPr>
          <w:p w14:paraId="2AF0B161" w14:textId="620A7D86" w:rsidR="002D72DE" w:rsidRPr="000C38B5" w:rsidRDefault="002D72DE" w:rsidP="00D65564">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Görevler</w:t>
            </w:r>
          </w:p>
        </w:tc>
        <w:tc>
          <w:tcPr>
            <w:tcW w:w="1530" w:type="dxa"/>
            <w:vAlign w:val="center"/>
          </w:tcPr>
          <w:p w14:paraId="373A9C46" w14:textId="6803629D" w:rsidR="002D72DE" w:rsidRPr="000C38B5" w:rsidRDefault="002D72DE" w:rsidP="00D65564">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Eylemden Sorumlu</w:t>
            </w:r>
          </w:p>
        </w:tc>
        <w:tc>
          <w:tcPr>
            <w:tcW w:w="1710" w:type="dxa"/>
            <w:shd w:val="clear" w:color="auto" w:fill="FFFFFF" w:themeFill="background1"/>
            <w:vAlign w:val="center"/>
          </w:tcPr>
          <w:p w14:paraId="3D046B48" w14:textId="3C197216" w:rsidR="002D72DE" w:rsidRPr="000C38B5" w:rsidRDefault="002D72DE" w:rsidP="00D65564">
            <w:pPr>
              <w:jc w:val="center"/>
              <w:rPr>
                <w:rFonts w:ascii="Times New Roman"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Zaman Çizelgesi</w:t>
            </w:r>
          </w:p>
        </w:tc>
        <w:tc>
          <w:tcPr>
            <w:tcW w:w="4140" w:type="dxa"/>
            <w:shd w:val="clear" w:color="auto" w:fill="FFFFFF" w:themeFill="background1"/>
            <w:vAlign w:val="center"/>
          </w:tcPr>
          <w:p w14:paraId="7455AF1C" w14:textId="69637B32" w:rsidR="002D72DE" w:rsidRPr="000C38B5" w:rsidRDefault="002D72DE" w:rsidP="00D65564">
            <w:pPr>
              <w:jc w:val="center"/>
              <w:rPr>
                <w:rFonts w:ascii="Times New Roman"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Görevler için İzleme Göstergeleri</w:t>
            </w:r>
          </w:p>
        </w:tc>
        <w:tc>
          <w:tcPr>
            <w:tcW w:w="2160" w:type="dxa"/>
            <w:shd w:val="clear" w:color="auto" w:fill="FFFFFF" w:themeFill="background1"/>
            <w:vAlign w:val="center"/>
          </w:tcPr>
          <w:p w14:paraId="162BB6FE" w14:textId="7B3E878D" w:rsidR="002D72DE" w:rsidRPr="000C38B5" w:rsidRDefault="002D72DE" w:rsidP="00D65564">
            <w:pPr>
              <w:jc w:val="center"/>
              <w:rPr>
                <w:rFonts w:ascii="Times New Roman"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İzleme ve Raporlamadan Sorumlu</w:t>
            </w:r>
          </w:p>
        </w:tc>
        <w:tc>
          <w:tcPr>
            <w:tcW w:w="4590" w:type="dxa"/>
            <w:shd w:val="clear" w:color="auto" w:fill="FFFFFF" w:themeFill="background1"/>
            <w:vAlign w:val="center"/>
          </w:tcPr>
          <w:p w14:paraId="2617DE74" w14:textId="54BF561D" w:rsidR="002D72DE" w:rsidRPr="000C38B5" w:rsidRDefault="002D72DE" w:rsidP="00D65564">
            <w:pPr>
              <w:jc w:val="center"/>
              <w:rPr>
                <w:rFonts w:ascii="Times New Roman"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Çıktılar</w:t>
            </w:r>
          </w:p>
        </w:tc>
      </w:tr>
      <w:tr w:rsidR="002D72DE" w:rsidRPr="000C38B5" w14:paraId="65A7F024" w14:textId="77777777" w:rsidTr="002D72DE">
        <w:trPr>
          <w:trHeight w:val="535"/>
        </w:trPr>
        <w:tc>
          <w:tcPr>
            <w:tcW w:w="23040" w:type="dxa"/>
            <w:gridSpan w:val="8"/>
            <w:shd w:val="clear" w:color="auto" w:fill="D5DCE4" w:themeFill="text2" w:themeFillTint="33"/>
            <w:vAlign w:val="center"/>
          </w:tcPr>
          <w:p w14:paraId="6F352A00" w14:textId="6B2F3F73" w:rsidR="002D72DE" w:rsidRPr="000C38B5" w:rsidRDefault="002D72DE" w:rsidP="00D65564">
            <w:pPr>
              <w:rPr>
                <w:rFonts w:ascii="Times New Roman"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Strateji 1: CSİ/CT önlenmesine yönelik politika ve prosedürün oluşturulması</w:t>
            </w:r>
          </w:p>
        </w:tc>
      </w:tr>
      <w:tr w:rsidR="002D72DE" w:rsidRPr="000C38B5" w14:paraId="79E82815" w14:textId="77777777" w:rsidTr="002D72DE">
        <w:tc>
          <w:tcPr>
            <w:tcW w:w="2970" w:type="dxa"/>
            <w:vMerge w:val="restart"/>
            <w:shd w:val="clear" w:color="auto" w:fill="F2F2F2" w:themeFill="background1" w:themeFillShade="F2"/>
            <w:vAlign w:val="center"/>
          </w:tcPr>
          <w:p w14:paraId="6A154CAF" w14:textId="6BF6F114"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 CSİ/CT'nin yaygınlığı ve</w:t>
            </w:r>
          </w:p>
          <w:p w14:paraId="51865F37" w14:textId="0DDC1205" w:rsidR="002D72DE" w:rsidRPr="00391833" w:rsidRDefault="002D72DE" w:rsidP="00F7791D">
            <w:pPr>
              <w:jc w:val="center"/>
              <w:rPr>
                <w:rFonts w:ascii="Times New Roman" w:hAnsi="Times New Roman" w:cs="Times New Roman"/>
                <w:b/>
                <w:bCs/>
                <w:color w:val="000000" w:themeColor="text1"/>
                <w:sz w:val="20"/>
                <w:szCs w:val="20"/>
                <w:highlight w:val="magenta"/>
                <w:lang w:val="en-US"/>
              </w:rPr>
            </w:pPr>
            <w:r>
              <w:rPr>
                <w:rFonts w:ascii="Times New Roman" w:hAnsi="Times New Roman" w:cs="Times New Roman"/>
                <w:b/>
                <w:bCs/>
                <w:color w:val="000000" w:themeColor="text1"/>
                <w:sz w:val="20"/>
                <w:szCs w:val="20"/>
                <w:lang w:val="en-US"/>
              </w:rPr>
              <w:t xml:space="preserve">(5) Yüklenicilerde CSİ/CT'ye duyarlı tanımlanmış soruşturma süreçlerinin ve prosedürlerinin bulunmaması</w:t>
            </w:r>
          </w:p>
        </w:tc>
        <w:tc>
          <w:tcPr>
            <w:tcW w:w="1800" w:type="dxa"/>
            <w:vAlign w:val="center"/>
          </w:tcPr>
          <w:p w14:paraId="0451F090" w14:textId="113C9363"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rPr>
              <w:t xml:space="preserve">CSİ/CT Eylem Planı ve HVMÇ'nin hazırlanması ve ÇSYP'ye ek olarak entegre edilmesi.</w:t>
            </w:r>
          </w:p>
        </w:tc>
        <w:tc>
          <w:tcPr>
            <w:tcW w:w="4140" w:type="dxa"/>
            <w:vAlign w:val="center"/>
          </w:tcPr>
          <w:p w14:paraId="577CDDA1" w14:textId="0C200B0C"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Boşlukların tespiti</w:t>
            </w:r>
          </w:p>
          <w:p w14:paraId="4E9BA689"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CSİ/CT politika ve prosedürlerinin oluşturulmasına destek sağlanması</w:t>
            </w:r>
          </w:p>
          <w:p w14:paraId="4450C45D" w14:textId="0BA2C39B"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Projenin CSİ/CT politikasının Koruma politikasına entegre edilmesi</w:t>
            </w:r>
          </w:p>
          <w:p w14:paraId="3977B281" w14:textId="30F8D968"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Eylem Planı ve Hesap Verebilirlik ve Müdahale Çerçevesi (HVMÇ) belgelerinin hazırlanması. HVMÇ:</w:t>
            </w:r>
          </w:p>
          <w:p w14:paraId="5B76794B"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iddialarının ele alınması, incelenmesi, doğrulanması ve soruşturulmasına ilişkin net adımları tanımlayacaktır</w:t>
            </w:r>
          </w:p>
          <w:p w14:paraId="6B180E41"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Çocuk mağdurlar/hayatta kalanlar için özel hükümler içerecektir</w:t>
            </w:r>
          </w:p>
          <w:p w14:paraId="14E7D5EB"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ŞM, yönlendirme yolları ve CSİ/CT hizmet haritalamasıyla uyumu sağlayacaktır</w:t>
            </w:r>
          </w:p>
          <w:p w14:paraId="380BA05D"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HVMÇ'yi İşletme El Kitabına, ihale belgelerine ve sözleşmelere entegre edecektir</w:t>
            </w:r>
          </w:p>
          <w:p w14:paraId="43C7F54F" w14:textId="0FC0BF34"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Edinilen dersler ve geri bildirim mekanizmaları doğrultusunda güncellenecektir</w:t>
            </w:r>
          </w:p>
          <w:p w14:paraId="3774FE89" w14:textId="1586C534" w:rsidR="002D72DE" w:rsidRPr="000C38B5" w:rsidRDefault="002D72DE" w:rsidP="00D65564">
            <w:pPr>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Eylem Planı:</w:t>
            </w:r>
          </w:p>
          <w:p w14:paraId="1393C1CD" w14:textId="63608C21"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Temel göstergeler, tahmini bütçe, uygulama zaman çizelgeleri ve izleme göstergeleri ile CSİ/CT risklerinin değerlendirmesine dayanacak ve proje ÇSYP'sine yansıtılacaktır</w:t>
            </w:r>
          </w:p>
          <w:p w14:paraId="267E9337" w14:textId="44DA388C"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Ç&amp;S ve olay bildirimiyle ilgili olanlar dahil olmak üzere tüm sözleşmelerde ve Yüklenici ÇSYP'sinde (C-ESMP) CSİ/CT ile ilgili sorumlulukları ve beklentileri içerecektir</w:t>
            </w:r>
          </w:p>
          <w:p w14:paraId="60E2723B"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Ortaya çıkan riskler ve projenin gelişimi doğrultusunda, uygulama boyunca CSİ/CT eylem planlarının güncellenmesine ilişkin zaman çizelgelerini ve süreçleri tanımlayacaktır</w:t>
            </w:r>
          </w:p>
          <w:p w14:paraId="641DDEAF" w14:textId="1ACC42D3"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CSİ/CT eylem planı düzenli olarak ve ihtiyaç duyuldukça güncellenecektir</w:t>
            </w:r>
          </w:p>
          <w:p w14:paraId="0304E12D" w14:textId="33AAB881" w:rsidR="002D72DE" w:rsidRPr="000C38B5" w:rsidRDefault="002D72DE" w:rsidP="00D65564">
            <w:pPr>
              <w:pStyle w:val="ListeParagraf"/>
              <w:numPr>
                <w:ilvl w:val="0"/>
                <w:numId w:val="10"/>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Belgelerin tamamlanması ve yayımlanması</w:t>
            </w:r>
          </w:p>
        </w:tc>
        <w:tc>
          <w:tcPr>
            <w:tcW w:w="1530" w:type="dxa"/>
            <w:vAlign w:val="center"/>
          </w:tcPr>
          <w:p w14:paraId="3B96E72D" w14:textId="77777777" w:rsidR="00AD74F2"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lastRenderedPageBreak/>
              <w:t xml:space="preserve">AYGM PUB Sosyal Uzmanı</w:t>
            </w:r>
          </w:p>
          <w:p w14:paraId="35F22A95" w14:textId="16A06C81" w:rsidR="002D72DE" w:rsidRPr="005E5D79" w:rsidRDefault="00CD29F5"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PMC Toplumsal Cinsiyet Uzmanı</w:t>
            </w:r>
          </w:p>
        </w:tc>
        <w:tc>
          <w:tcPr>
            <w:tcW w:w="1710" w:type="dxa"/>
            <w:vAlign w:val="center"/>
          </w:tcPr>
          <w:p w14:paraId="6CC5E9A3" w14:textId="44F995BC" w:rsidR="002D72DE" w:rsidRPr="000C38B5" w:rsidRDefault="002D72DE" w:rsidP="00D65564">
            <w:pPr>
              <w:rPr>
                <w:rFonts w:ascii="Times New Roman" w:hAnsi="Times New Roman" w:cs="Times New Roman"/>
                <w:color w:val="000000" w:themeColor="text1"/>
                <w:sz w:val="20"/>
                <w:szCs w:val="20"/>
                <w:lang w:val="en-US"/>
              </w:rPr>
            </w:pPr>
          </w:p>
          <w:p w14:paraId="24644426" w14:textId="48201000" w:rsidR="002D72DE" w:rsidRPr="000C38B5" w:rsidRDefault="002D72DE" w:rsidP="00D65564">
            <w:pPr>
              <w:pStyle w:val="ListeParagraf"/>
              <w:numPr>
                <w:ilvl w:val="0"/>
                <w:numId w:val="10"/>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İşlerin başlamasından önce</w:t>
            </w:r>
          </w:p>
          <w:p w14:paraId="1939FE08" w14:textId="77777777"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Yüklenicilerin sahaya yerleşmesinden önce</w:t>
            </w:r>
          </w:p>
          <w:p w14:paraId="5686764A" w14:textId="1E7F874E"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Yıllık olarak güncellenecektir</w:t>
            </w:r>
          </w:p>
        </w:tc>
        <w:tc>
          <w:tcPr>
            <w:tcW w:w="4140" w:type="dxa"/>
            <w:vAlign w:val="center"/>
          </w:tcPr>
          <w:p w14:paraId="49A72897" w14:textId="5F47F10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Boşluk analizinin tamamlanma durumu (E/H)</w:t>
            </w:r>
          </w:p>
          <w:p w14:paraId="7FDFD06E" w14:textId="42CD8B11"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politika ve prosedürlerinin proje belgelerine entegre edilmesi (E/H)</w:t>
            </w:r>
          </w:p>
          <w:p w14:paraId="2869E612" w14:textId="4880F2B8"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HVMÇ ve CSİ/CT Eylem Planının ihale belgelerine, Yüklenici ÇSYP'lerine ve sözleşmelere yansıtılması (E/H)</w:t>
            </w:r>
          </w:p>
          <w:p w14:paraId="7075E7EA" w14:textId="2D35019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Belgelerin kamuya açık olarak erişilebilir olduğu kanal sayısı.</w:t>
            </w:r>
          </w:p>
          <w:p w14:paraId="400E76AA" w14:textId="01ABFCB6"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Uygulama geri bildirimine dayalı olarak yapılan güncelleme sayısı</w:t>
            </w:r>
          </w:p>
        </w:tc>
        <w:tc>
          <w:tcPr>
            <w:tcW w:w="2160" w:type="dxa"/>
            <w:vAlign w:val="center"/>
          </w:tcPr>
          <w:p w14:paraId="364A08DE" w14:textId="4E29BFCE"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AYGM PUB Sosyal Uzmanı</w:t>
            </w:r>
          </w:p>
          <w:p w14:paraId="05EB1E92" w14:textId="32317E85" w:rsidR="002D72DE" w:rsidRPr="00352F78" w:rsidRDefault="00CD29F5"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PMC Toplumsal Cinsiyet Uzmanı</w:t>
            </w:r>
          </w:p>
        </w:tc>
        <w:tc>
          <w:tcPr>
            <w:tcW w:w="4590" w:type="dxa"/>
            <w:vAlign w:val="center"/>
          </w:tcPr>
          <w:p w14:paraId="092951FC" w14:textId="3F4E743A" w:rsidR="002D72DE" w:rsidRPr="000C38B5" w:rsidRDefault="002D72DE" w:rsidP="00D65564">
            <w:pPr>
              <w:pStyle w:val="ListeParagraf"/>
              <w:ind w:left="0"/>
              <w:rPr>
                <w:rFonts w:ascii="Times New Roman" w:hAnsi="Times New Roman" w:cs="Times New Roman"/>
                <w:sz w:val="20"/>
                <w:szCs w:val="20"/>
                <w:lang w:val="en-US"/>
              </w:rPr>
            </w:pPr>
          </w:p>
          <w:p w14:paraId="79B9B869" w14:textId="09FAF22C"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r>
              <w:rPr>
                <w:rFonts w:ascii="Times New Roman" w:hAnsi="Times New Roman" w:cs="Times New Roman"/>
                <w:sz w:val="20"/>
                <w:szCs w:val="20"/>
                <w:lang w:val="en-US"/>
              </w:rPr>
              <w:t xml:space="preserve">Tamamlanmış ve onaylanmış CSİ/CT Eylem Planı ve HVMÇ</w:t>
            </w:r>
          </w:p>
          <w:p w14:paraId="5E581FB2" w14:textId="38470B1F"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r>
              <w:rPr>
                <w:rFonts w:ascii="Times New Roman" w:hAnsi="Times New Roman" w:cs="Times New Roman"/>
                <w:sz w:val="20"/>
                <w:szCs w:val="20"/>
              </w:rPr>
              <w:t xml:space="preserve">Revize edilmiş Koruma Politikası</w:t>
            </w:r>
          </w:p>
          <w:p w14:paraId="29B356B2" w14:textId="201021DA"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r>
              <w:rPr>
                <w:rFonts w:ascii="Times New Roman" w:eastAsiaTheme="minorEastAsia" w:hAnsi="Times New Roman" w:cs="Times New Roman"/>
                <w:bCs/>
                <w:color w:val="000000" w:themeColor="text1"/>
                <w:sz w:val="20"/>
                <w:szCs w:val="20"/>
                <w:lang w:val="en-US"/>
              </w:rPr>
              <w:t xml:space="preserve">Güncellenmiş ihale belgeleri, Yüklenici ÇSYP'leri ve sözleşmeler</w:t>
            </w:r>
          </w:p>
          <w:p w14:paraId="28006D1B" w14:textId="23363B0F"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r>
              <w:rPr>
                <w:rFonts w:ascii="Times New Roman" w:hAnsi="Times New Roman" w:cs="Times New Roman"/>
                <w:sz w:val="20"/>
                <w:szCs w:val="20"/>
              </w:rPr>
              <w:t xml:space="preserve">Yayımlanmış ve dağıtılmış CSİ/CT belgeleri (iç/dış).</w:t>
            </w:r>
          </w:p>
        </w:tc>
      </w:tr>
      <w:tr w:rsidR="002D72DE" w:rsidRPr="000C38B5" w14:paraId="6CE7258F" w14:textId="77777777" w:rsidTr="002D72DE">
        <w:tc>
          <w:tcPr>
            <w:tcW w:w="2970" w:type="dxa"/>
            <w:vMerge/>
            <w:vAlign w:val="center"/>
          </w:tcPr>
          <w:p w14:paraId="6DA3B3B5" w14:textId="6E5D263A" w:rsidR="002D72DE" w:rsidRPr="000C38B5" w:rsidRDefault="002D72DE" w:rsidP="00D65564">
            <w:pPr>
              <w:rPr>
                <w:rFonts w:ascii="Times New Roman" w:eastAsiaTheme="minorEastAsia" w:hAnsi="Times New Roman" w:cs="Times New Roman"/>
                <w:b/>
                <w:bCs/>
                <w:color w:val="000000" w:themeColor="text1"/>
                <w:sz w:val="20"/>
                <w:szCs w:val="20"/>
                <w:lang w:val="en-US"/>
              </w:rPr>
            </w:pPr>
          </w:p>
        </w:tc>
        <w:tc>
          <w:tcPr>
            <w:tcW w:w="1800" w:type="dxa"/>
            <w:vAlign w:val="center"/>
          </w:tcPr>
          <w:p w14:paraId="4A0CD97D" w14:textId="52CB5F89"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Proje Paydaş Katılım Planı (PKP) belgesi, CSİ/CT konularının ele alınmasına yönelik ŞM mekanizmalarını entegre edecek şekilde revize edilecektir</w:t>
            </w:r>
          </w:p>
        </w:tc>
        <w:tc>
          <w:tcPr>
            <w:tcW w:w="4140" w:type="dxa"/>
            <w:vAlign w:val="center"/>
          </w:tcPr>
          <w:p w14:paraId="42DED981"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Projenin CSİ/CT Eylem Planı ile uyumlu iç CSİ/CT müdahale protokollerinin geliştirilmesi</w:t>
            </w:r>
          </w:p>
          <w:p w14:paraId="6FE86583" w14:textId="19578FE4"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Net üst makama iletme (eskalasyon) ve gizlilik prosedürlerinin belirlenmesi</w:t>
            </w:r>
          </w:p>
          <w:p w14:paraId="752C3F40" w14:textId="792A8E2F"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Tüm ilgili tarafların mevcut PKP belgesi ve ŞM mekanizması hakkında bilgilendirilmesi.</w:t>
            </w:r>
          </w:p>
        </w:tc>
        <w:tc>
          <w:tcPr>
            <w:tcW w:w="1530" w:type="dxa"/>
            <w:vAlign w:val="center"/>
          </w:tcPr>
          <w:p w14:paraId="77229FAE" w14:textId="5B2F34A6"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AYGM PUB Sosyal Uzmanı</w:t>
            </w:r>
          </w:p>
          <w:p w14:paraId="1958F0F4" w14:textId="52D4E088" w:rsidR="002D72DE" w:rsidRDefault="00CD29F5"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PMC Toplumsal Cinsiyet Uzmanı</w:t>
            </w:r>
          </w:p>
          <w:p w14:paraId="4DF524BB" w14:textId="77777777" w:rsidR="002D72DE"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Danışman(lar)</w:t>
            </w:r>
          </w:p>
          <w:p w14:paraId="078C0A40" w14:textId="20538138"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Yüklenici(ler)</w:t>
            </w:r>
          </w:p>
        </w:tc>
        <w:tc>
          <w:tcPr>
            <w:tcW w:w="1710" w:type="dxa"/>
            <w:vAlign w:val="center"/>
          </w:tcPr>
          <w:p w14:paraId="45508894" w14:textId="77777777" w:rsidR="002D72DE" w:rsidRPr="000C38B5" w:rsidRDefault="002D72DE" w:rsidP="00D65564">
            <w:pPr>
              <w:pStyle w:val="ListeParagraf"/>
              <w:numPr>
                <w:ilvl w:val="0"/>
                <w:numId w:val="10"/>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İşlerin başlamasından önce</w:t>
            </w:r>
          </w:p>
          <w:p w14:paraId="69187CB2" w14:textId="77777777"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Yüklenicilerin sahaya yerleşmesinden önce</w:t>
            </w:r>
          </w:p>
          <w:p w14:paraId="6A0068D3" w14:textId="28AB7F2E"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Ortaya çıkan ihtiyaçlara göre güncellenecektir</w:t>
            </w:r>
          </w:p>
        </w:tc>
        <w:tc>
          <w:tcPr>
            <w:tcW w:w="4140" w:type="dxa"/>
            <w:vAlign w:val="center"/>
          </w:tcPr>
          <w:p w14:paraId="718F5CF9" w14:textId="6407700D"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Eylem Planı ve HVMÇ ile tam uyumlu geliştirilmiş iç protokollerin varlığı (E/H)</w:t>
            </w:r>
          </w:p>
          <w:p w14:paraId="0A91834D" w14:textId="7000AB86"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color w:val="000000" w:themeColor="text1"/>
                <w:sz w:val="20"/>
                <w:szCs w:val="20"/>
              </w:rPr>
              <w:t xml:space="preserve">Tanımlanmış üst makama iletme ve gizlilik adımlarının varlığı</w:t>
            </w:r>
            <w:r>
              <w:rPr>
                <w:rFonts w:ascii="Times New Roman" w:eastAsiaTheme="minorEastAsia" w:hAnsi="Times New Roman" w:cs="Times New Roman"/>
                <w:bCs/>
                <w:color w:val="000000" w:themeColor="text1"/>
                <w:sz w:val="20"/>
                <w:szCs w:val="20"/>
              </w:rPr>
              <w:t xml:space="preserve"/>
            </w:r>
          </w:p>
          <w:p w14:paraId="351F5D34" w14:textId="4EA96A71"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Bilgilendirilen/eğitilen paydaş sayısı</w:t>
            </w:r>
          </w:p>
        </w:tc>
        <w:tc>
          <w:tcPr>
            <w:tcW w:w="2160" w:type="dxa"/>
            <w:vAlign w:val="center"/>
          </w:tcPr>
          <w:p w14:paraId="38ADD568" w14:textId="50079275"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48F46EB2" w14:textId="7495C1BC" w:rsidR="002D72DE" w:rsidRPr="000C38B5"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p w14:paraId="0F475B00" w14:textId="206449C1" w:rsidR="002D72DE" w:rsidRPr="00864805" w:rsidRDefault="002D72DE" w:rsidP="00D65564">
            <w:pPr>
              <w:rPr>
                <w:rFonts w:ascii="Times New Roman" w:eastAsiaTheme="minorEastAsia" w:hAnsi="Times New Roman" w:cs="Times New Roman"/>
                <w:bCs/>
                <w:color w:val="000000" w:themeColor="text1"/>
                <w:sz w:val="20"/>
                <w:szCs w:val="20"/>
                <w:lang w:val="en-US"/>
              </w:rPr>
            </w:pPr>
          </w:p>
        </w:tc>
        <w:tc>
          <w:tcPr>
            <w:tcW w:w="4590" w:type="dxa"/>
            <w:vAlign w:val="center"/>
          </w:tcPr>
          <w:p w14:paraId="227254E1" w14:textId="0404E075"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rPr>
              <w:t xml:space="preserve">Onaylanmış iç CSİ/CT müdahale protokolleri ve prosedürleri.</w:t>
            </w:r>
          </w:p>
          <w:p w14:paraId="51C4BC80" w14:textId="71FF51F7"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politikası, CSİ/CT ŞM mekanizması, üst makama iletme ve gizlilik prosedürleri ile CSİ/CT müdahale protokollerini içeren PKP belgesi</w:t>
            </w:r>
          </w:p>
          <w:p w14:paraId="3F7AD0F0" w14:textId="37C8549E"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Bilgilendirme toplantılarının bilgi yayma raporları ve katılımcı listeleri</w:t>
            </w:r>
          </w:p>
        </w:tc>
      </w:tr>
      <w:tr w:rsidR="002D72DE" w:rsidRPr="000C38B5" w14:paraId="3A83584B" w14:textId="77777777" w:rsidTr="002D72DE">
        <w:tc>
          <w:tcPr>
            <w:tcW w:w="2970" w:type="dxa"/>
            <w:shd w:val="clear" w:color="auto" w:fill="F2F2F2" w:themeFill="background1" w:themeFillShade="F2"/>
            <w:vAlign w:val="center"/>
          </w:tcPr>
          <w:p w14:paraId="6E01E6DE" w14:textId="7307198E" w:rsidR="002D72DE" w:rsidRPr="003D2C4F"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(5) Yüklenicilerde CSİ/CT'ye duyarlı tanımlanmış soruşturma süreçlerinin ve prosedürlerinin bulunmaması</w:t>
            </w:r>
          </w:p>
        </w:tc>
        <w:tc>
          <w:tcPr>
            <w:tcW w:w="1800" w:type="dxa"/>
            <w:vAlign w:val="center"/>
          </w:tcPr>
          <w:p w14:paraId="534E8897" w14:textId="7EEA921D" w:rsidR="002D72DE" w:rsidRPr="000C38B5" w:rsidRDefault="002D72DE" w:rsidP="00D65564">
            <w:pPr>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 AYGM PUB tarafından geliştirilen CSİ/CT HVMÇ'si, Eylem Planı ve prosedürlerinin uygulanması konusunda desteklenecektir.</w:t>
            </w:r>
          </w:p>
        </w:tc>
        <w:tc>
          <w:tcPr>
            <w:tcW w:w="4140" w:type="dxa"/>
            <w:vAlign w:val="center"/>
          </w:tcPr>
          <w:p w14:paraId="56020C10" w14:textId="216BCE39"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eylem planı ve risk düzeyine dayalı olarak Davranış Kuralları, işçi eğitimi, CSİ/CT bildirimi vb. gerekliliklerin ihale belgelerine dahil edilmesi (temel unsurlar zaten Uluslararası Rekabetçi İhale Standart İhale Belgelerinde (ICB SPD) yer almaktadır).</w:t>
            </w:r>
          </w:p>
          <w:p w14:paraId="2795A28C" w14:textId="07134166"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gerekliliklerinin isteklilere açıklanması.</w:t>
            </w:r>
          </w:p>
          <w:p w14:paraId="32899B71" w14:textId="568EB7F2"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İhale değerlendirmesinin bir parçası olarak CSİ/CT risk azaltım teklifinin değerlendirilmesi</w:t>
            </w:r>
          </w:p>
          <w:p w14:paraId="641D1BEF" w14:textId="097D3EE1"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gerekliliklerinin, Hesap Verebilirlik ve Müdahale Çerçevesi dahil olmak üzere Yüklenici ÇSYP'sine ve teklif değerlendirmesinin bir parçasına yansıtılması.</w:t>
            </w:r>
          </w:p>
          <w:p w14:paraId="4BC59084" w14:textId="169119EF"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Uyumsuzluk durumunda üst makama iletme hükümleri ile birlikte CSİ/CT gerekliliklerinin danışman sözleşmelerine dahil edilmesi.</w:t>
            </w:r>
          </w:p>
          <w:p w14:paraId="5DDED740" w14:textId="36CD555F" w:rsidR="002D72DE" w:rsidRPr="009E56B7"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Açıkça tanımlanmış CSİ/CT faaliyetleri (ilgili planların hazırlanması gibi) için CSİ/CT maliyetlerinin sözleşmelerde açıkça yansıtılması (yani keşif özetinde kalem olarak) veya önceden tanımlanamayan faaliyetler için (ilgili planın/planların uygulanması gibi) belirli geçici toplamların belirtilmesi</w:t>
            </w:r>
          </w:p>
        </w:tc>
        <w:tc>
          <w:tcPr>
            <w:tcW w:w="1530" w:type="dxa"/>
            <w:vAlign w:val="center"/>
          </w:tcPr>
          <w:p w14:paraId="425BEF01" w14:textId="1B97B4E6" w:rsidR="002D72DE" w:rsidRPr="006B57EF" w:rsidRDefault="00CD29F5"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PMC Toplumsal Cinsiyet Uzmanı</w:t>
            </w:r>
          </w:p>
          <w:p w14:paraId="4D5A78D5" w14:textId="77777777" w:rsidR="002D72DE" w:rsidRPr="006B57EF"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Danışman(lar)</w:t>
            </w:r>
          </w:p>
          <w:p w14:paraId="65373422" w14:textId="7E08DF9C" w:rsidR="002D72DE" w:rsidRPr="006B57EF"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Yüklenici(ler)</w:t>
            </w:r>
          </w:p>
        </w:tc>
        <w:tc>
          <w:tcPr>
            <w:tcW w:w="1710" w:type="dxa"/>
            <w:vAlign w:val="center"/>
          </w:tcPr>
          <w:p w14:paraId="06DAE8D8" w14:textId="2A3242BE" w:rsidR="002D72DE" w:rsidRPr="006B57EF" w:rsidRDefault="002D72DE" w:rsidP="00D65564">
            <w:pPr>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İşlerin başlamasından önce ve satın alma aşamasına entegre edilmiş şekilde</w:t>
            </w:r>
          </w:p>
        </w:tc>
        <w:tc>
          <w:tcPr>
            <w:tcW w:w="4140" w:type="dxa"/>
            <w:vAlign w:val="center"/>
          </w:tcPr>
          <w:p w14:paraId="1FB0D333" w14:textId="40E9247C"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gerekliliklerinin tüm ihale belgelerine ve sözleşmelere entegre edilmesi (E/H)</w:t>
            </w:r>
          </w:p>
          <w:p w14:paraId="0AB2A7A1" w14:textId="74BD5D4A"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gerekliliklerinin sunulduğu ihale öncesi toplantı veya bilgilendirme oturumu sayısı</w:t>
            </w:r>
          </w:p>
          <w:p w14:paraId="29F9726D" w14:textId="572CCC35"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Nihai ihale değerlendirme raporlarında CSİ/CT risk azaltımına yönelik özel bir puanlama veya değerlendirme bölümünün bulunması.</w:t>
            </w:r>
          </w:p>
          <w:p w14:paraId="52EA6350" w14:textId="73447BB8"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 ÇSYP'sinin detaylı bir CSİ/CT uygulama ve müdahale bölümü içerdiğinden emin olan onay durumu (E/H).</w:t>
            </w:r>
          </w:p>
          <w:p w14:paraId="1A67F625" w14:textId="77777777"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Keşif özetlerinde (BoQ) yer alan CSİ/CT kalemleri</w:t>
            </w:r>
          </w:p>
          <w:p w14:paraId="4069DFAB" w14:textId="215BB4E3" w:rsidR="002D72DE" w:rsidRPr="009E56B7"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risk azaltımını ve uyumsuzluk durumunda üst makama iletme hükümlerini yansıtan Yüklenici ÇSYP'leri</w:t>
            </w:r>
          </w:p>
        </w:tc>
        <w:tc>
          <w:tcPr>
            <w:tcW w:w="2160" w:type="dxa"/>
            <w:vAlign w:val="center"/>
          </w:tcPr>
          <w:p w14:paraId="439885D9" w14:textId="54F11F3A"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38B669B4" w14:textId="2F7A7A4D" w:rsidR="002D72DE" w:rsidRPr="006B57EF"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tc>
        <w:tc>
          <w:tcPr>
            <w:tcW w:w="4590" w:type="dxa"/>
            <w:vAlign w:val="center"/>
          </w:tcPr>
          <w:p w14:paraId="75A511B8" w14:textId="241C031E"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CSİ/CT hükümlerini içeren nihai ihale belgeleri (ihale paketi)</w:t>
            </w:r>
          </w:p>
          <w:p w14:paraId="14A04A2B" w14:textId="77777777"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İhale öncesi toplantı tutanakları veya bilgilendirme sunumları</w:t>
            </w:r>
          </w:p>
          <w:p w14:paraId="0E3F556B" w14:textId="77777777"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İhale değerlendirme raporları (teknik/sosyal bölüm).</w:t>
            </w:r>
          </w:p>
          <w:p w14:paraId="548B9CC7" w14:textId="08E19453"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Onaylanmış Yüklenici ÇSYP'si ve HVMÇ.</w:t>
            </w:r>
          </w:p>
          <w:p w14:paraId="2ABEEB83" w14:textId="77777777"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Üst makama iletme hükümleri ve risk azaltım önlemlerini içeren imzalanmış Danışman Sözleşmeleri</w:t>
            </w:r>
          </w:p>
          <w:p w14:paraId="4901FC47" w14:textId="4AF4143B" w:rsidR="002D72DE" w:rsidRPr="009E56B7"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Keşif Özetleri (BoQ) / Mali Çizelgeler ile imzalanmış Sözleşmeler</w:t>
            </w:r>
          </w:p>
        </w:tc>
      </w:tr>
      <w:tr w:rsidR="002D72DE" w:rsidRPr="000C38B5" w14:paraId="7443AD5A" w14:textId="77777777" w:rsidTr="002D72DE">
        <w:trPr>
          <w:trHeight w:val="481"/>
        </w:trPr>
        <w:tc>
          <w:tcPr>
            <w:tcW w:w="23040" w:type="dxa"/>
            <w:gridSpan w:val="8"/>
            <w:shd w:val="clear" w:color="auto" w:fill="D5DCE4" w:themeFill="text2" w:themeFillTint="33"/>
            <w:vAlign w:val="center"/>
          </w:tcPr>
          <w:p w14:paraId="1BB63D31" w14:textId="71FCC9C3" w:rsidR="002D72DE" w:rsidRPr="000C38B5" w:rsidRDefault="002D72DE" w:rsidP="00D65564">
            <w:pPr>
              <w:rPr>
                <w:rFonts w:ascii="Times New Roman" w:hAnsi="Times New Roman" w:cs="Times New Roman"/>
                <w:b/>
                <w:bCs/>
                <w:sz w:val="20"/>
                <w:szCs w:val="20"/>
              </w:rPr>
            </w:pPr>
            <w:r>
              <w:rPr>
                <w:rFonts w:ascii="Times New Roman" w:hAnsi="Times New Roman" w:cs="Times New Roman"/>
                <w:b/>
                <w:bCs/>
                <w:sz w:val="20"/>
                <w:szCs w:val="20"/>
              </w:rPr>
              <w:t xml:space="preserve">Strateji 2: </w:t>
            </w:r>
            <w:r>
              <w:rPr>
                <w:rFonts w:ascii="Times New Roman" w:hAnsi="Times New Roman" w:cs="Times New Roman"/>
                <w:b/>
                <w:bCs/>
                <w:sz w:val="20"/>
                <w:szCs w:val="20"/>
                <w:shd w:val="clear" w:color="auto" w:fill="D5DCE4" w:themeFill="text2" w:themeFillTint="33"/>
              </w:rPr>
              <w:t xml:space="preserve">Teknik Uzmanlığın Seferber Edilmesi</w:t>
            </w:r>
          </w:p>
        </w:tc>
      </w:tr>
      <w:tr w:rsidR="002D72DE" w:rsidRPr="000C38B5" w14:paraId="1AAAAC1F" w14:textId="77777777" w:rsidTr="002D72DE">
        <w:tc>
          <w:tcPr>
            <w:tcW w:w="2970" w:type="dxa"/>
            <w:shd w:val="clear" w:color="auto" w:fill="F2F2F2" w:themeFill="background1" w:themeFillShade="F2"/>
            <w:vAlign w:val="center"/>
          </w:tcPr>
          <w:p w14:paraId="106B76DD" w14:textId="2CA3FB91" w:rsidR="002D72DE" w:rsidRPr="000C38B5"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(4) AYGM PUB'da toplumsal cinsiyet ve CSİ/CT konusunda sınırlı uzmanlık</w:t>
            </w:r>
          </w:p>
        </w:tc>
        <w:tc>
          <w:tcPr>
            <w:tcW w:w="1800" w:type="dxa"/>
            <w:vAlign w:val="center"/>
          </w:tcPr>
          <w:p w14:paraId="05BBBF33" w14:textId="388A5506" w:rsidR="002D72DE" w:rsidRPr="000C38B5" w:rsidRDefault="002D72DE" w:rsidP="00D65564">
            <w:pPr>
              <w:rPr>
                <w:rFonts w:ascii="Times New Roman" w:hAnsi="Times New Roman" w:cs="Times New Roman"/>
                <w:sz w:val="20"/>
                <w:szCs w:val="20"/>
              </w:rPr>
            </w:pPr>
            <w:r>
              <w:rPr>
                <w:rFonts w:ascii="Times New Roman" w:hAnsi="Times New Roman" w:cs="Times New Roman"/>
                <w:sz w:val="20"/>
                <w:szCs w:val="20"/>
              </w:rPr>
              <w:t xml:space="preserve">AYGM PUB bünyesinde bir CSİ/CT uzmanı görevlendirilecektir</w:t>
            </w:r>
          </w:p>
        </w:tc>
        <w:tc>
          <w:tcPr>
            <w:tcW w:w="4140" w:type="dxa"/>
            <w:vAlign w:val="center"/>
          </w:tcPr>
          <w:p w14:paraId="45FBFF25" w14:textId="0041EE86" w:rsidR="002D72DE" w:rsidRPr="00343F86" w:rsidRDefault="002D72DE" w:rsidP="00D65564">
            <w:pPr>
              <w:rPr>
                <w:rFonts w:ascii="Times New Roman" w:eastAsiaTheme="minorEastAsia" w:hAnsi="Times New Roman" w:cs="Times New Roman"/>
                <w:bCs/>
                <w:color w:val="000000" w:themeColor="text1"/>
                <w:sz w:val="20"/>
                <w:szCs w:val="20"/>
                <w:lang w:val="en-US"/>
              </w:rPr>
            </w:pPr>
          </w:p>
          <w:p w14:paraId="51143A38" w14:textId="78347530" w:rsidR="002D72DE" w:rsidRPr="00343F86"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Görev tanımının (ToR) hazırlanması ve işe alım yapılması</w:t>
            </w:r>
          </w:p>
          <w:p w14:paraId="0EA2C2E0" w14:textId="4864AE90" w:rsidR="002D72DE" w:rsidRPr="00343F86"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uzmanlığına sahip uzman/danışmanların işe alınması</w:t>
            </w:r>
          </w:p>
        </w:tc>
        <w:tc>
          <w:tcPr>
            <w:tcW w:w="1530" w:type="dxa"/>
            <w:vAlign w:val="center"/>
          </w:tcPr>
          <w:p w14:paraId="151AB975" w14:textId="60D4CB26" w:rsidR="002D72DE" w:rsidRPr="00343F86" w:rsidRDefault="002D72DE" w:rsidP="00D65564">
            <w:pPr>
              <w:pStyle w:val="ListeParagraf"/>
              <w:numPr>
                <w:ilvl w:val="0"/>
                <w:numId w:val="2"/>
              </w:numPr>
              <w:ind w:left="167" w:hanging="180"/>
              <w:rPr>
                <w:lang w:val="en-US"/>
              </w:rPr>
            </w:pPr>
            <w:r>
              <w:rPr>
                <w:rFonts w:ascii="Times New Roman" w:eastAsiaTheme="minorEastAsia" w:hAnsi="Times New Roman" w:cs="Times New Roman"/>
                <w:bCs/>
                <w:color w:val="000000" w:themeColor="text1"/>
                <w:sz w:val="20"/>
                <w:szCs w:val="20"/>
                <w:lang w:val="en-US"/>
              </w:rPr>
              <w:t xml:space="preserve">AYGM PUB</w:t>
            </w:r>
          </w:p>
        </w:tc>
        <w:tc>
          <w:tcPr>
            <w:tcW w:w="1710" w:type="dxa"/>
            <w:vAlign w:val="center"/>
          </w:tcPr>
          <w:p w14:paraId="3EADC6CA" w14:textId="77777777" w:rsidR="002D72DE" w:rsidRPr="00343F86"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İşlerin başlamasından önce</w:t>
            </w:r>
          </w:p>
          <w:p w14:paraId="3D498C2E" w14:textId="1D5373AC" w:rsidR="002D72DE" w:rsidRPr="00343F86" w:rsidRDefault="002D72DE" w:rsidP="00D65564">
            <w:pPr>
              <w:pStyle w:val="ListeParagraf"/>
              <w:numPr>
                <w:ilvl w:val="0"/>
                <w:numId w:val="2"/>
              </w:numPr>
              <w:ind w:left="167" w:hanging="180"/>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Yüklenicilerin sahaya yerleşmesinden önce</w:t>
            </w:r>
          </w:p>
        </w:tc>
        <w:tc>
          <w:tcPr>
            <w:tcW w:w="4140" w:type="dxa"/>
            <w:vAlign w:val="center"/>
          </w:tcPr>
          <w:p w14:paraId="4037C085" w14:textId="108D7222"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Başarıyla işe alınan ve aktif bir iş sözleşmesi kapsamında çalışan CSİ/CT uzman(lar)ı/danışman(lar)ı sayısı.</w:t>
            </w:r>
          </w:p>
          <w:p w14:paraId="0D951F60" w14:textId="6E67E975"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uzman pozisyonu için resmi olarak onaylanmış bir Görev Tanımının (ToR) mevcudiyeti. (E/H)</w:t>
            </w:r>
          </w:p>
          <w:p w14:paraId="34EDAB29" w14:textId="38E202F3"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hAnsi="Times New Roman" w:cs="Times New Roman"/>
                <w:sz w:val="20"/>
                <w:szCs w:val="20"/>
              </w:rPr>
              <w:t xml:space="preserve">Danışmanlarla yapılan anlaşmaların CSİ/CT Eylem Planı gerekliliklerine uygunluğu.</w:t>
            </w:r>
          </w:p>
          <w:p w14:paraId="49938FE9" w14:textId="5FFCF44D"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Onaylı Proje Bütçesi içinde CSİ/CT uzman kadrolaması için ayrılmış bir bütçe kaleminin bulunması. (E/H)</w:t>
            </w:r>
          </w:p>
        </w:tc>
        <w:tc>
          <w:tcPr>
            <w:tcW w:w="2160" w:type="dxa"/>
            <w:vAlign w:val="center"/>
          </w:tcPr>
          <w:p w14:paraId="3D04B742" w14:textId="3080077A"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w:t>
            </w:r>
          </w:p>
        </w:tc>
        <w:tc>
          <w:tcPr>
            <w:tcW w:w="4590" w:type="dxa"/>
            <w:vAlign w:val="center"/>
          </w:tcPr>
          <w:p w14:paraId="695CE2C0" w14:textId="430C1668"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uzman(lar)ı/danışman(lar)ı için imzalanmış iş sözleşmeleri ve işe alım raporları.</w:t>
            </w:r>
          </w:p>
          <w:p w14:paraId="2B73C967" w14:textId="1EAC1207"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uzman pozisyonu için tamamlanmış ve resmi olarak onaylanmış bir Görev Tanımı (ToR).</w:t>
            </w:r>
          </w:p>
          <w:p w14:paraId="3268065D" w14:textId="69D1C12A"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Eylem Planı gerekliliklerini ve davranış standartlarını açıkça içeren onaylı danışmanlık anlaşmaları.</w:t>
            </w:r>
          </w:p>
          <w:p w14:paraId="78F7421B" w14:textId="060E3EE9"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Ayrılan CSİ/CT finansmanını gösteren onaylı Proje Bütçesi.</w:t>
            </w:r>
          </w:p>
        </w:tc>
      </w:tr>
      <w:tr w:rsidR="002D72DE" w:rsidRPr="000C38B5" w14:paraId="5CCBF1CF" w14:textId="77777777" w:rsidTr="002D72DE">
        <w:trPr>
          <w:trHeight w:val="445"/>
        </w:trPr>
        <w:tc>
          <w:tcPr>
            <w:tcW w:w="23040" w:type="dxa"/>
            <w:gridSpan w:val="8"/>
            <w:shd w:val="clear" w:color="auto" w:fill="D5DCE4" w:themeFill="text2" w:themeFillTint="33"/>
            <w:vAlign w:val="center"/>
          </w:tcPr>
          <w:p w14:paraId="3D7D9872" w14:textId="26ACA995" w:rsidR="002D72DE" w:rsidRPr="00163622" w:rsidRDefault="002D72DE" w:rsidP="00D65564">
            <w:pPr>
              <w:rPr>
                <w:rFonts w:ascii="Times New Roman" w:eastAsiaTheme="minorEastAsia" w:hAnsi="Times New Roman" w:cs="Times New Roman"/>
                <w:b/>
                <w:color w:val="000000" w:themeColor="text1"/>
                <w:sz w:val="20"/>
                <w:szCs w:val="20"/>
                <w:lang w:val="en-US"/>
              </w:rPr>
            </w:pPr>
            <w:r>
              <w:rPr>
                <w:rFonts w:ascii="Times New Roman" w:eastAsiaTheme="minorEastAsia" w:hAnsi="Times New Roman" w:cs="Times New Roman"/>
                <w:b/>
                <w:color w:val="000000" w:themeColor="text1"/>
                <w:sz w:val="20"/>
                <w:szCs w:val="20"/>
                <w:lang w:val="en-US"/>
              </w:rPr>
              <w:t xml:space="preserve">Strateji 3: CSİ/CT konusunda farkındalığın artırılması</w:t>
            </w:r>
          </w:p>
        </w:tc>
      </w:tr>
      <w:tr w:rsidR="002D72DE" w:rsidRPr="000C38B5" w14:paraId="52F9EE3F" w14:textId="77777777" w:rsidTr="002D72DE">
        <w:tc>
          <w:tcPr>
            <w:tcW w:w="2970" w:type="dxa"/>
            <w:shd w:val="clear" w:color="auto" w:fill="F2F2F2" w:themeFill="background1" w:themeFillShade="F2"/>
            <w:vAlign w:val="center"/>
          </w:tcPr>
          <w:p w14:paraId="2925EB69" w14:textId="3F52ABD8"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(21) Paydaş katılım süreçlerinde kadınların düşük katılımı</w:t>
            </w:r>
          </w:p>
        </w:tc>
        <w:tc>
          <w:tcPr>
            <w:tcW w:w="1800" w:type="dxa"/>
            <w:vAlign w:val="center"/>
          </w:tcPr>
          <w:p w14:paraId="2EC4E94C" w14:textId="2EBB3267" w:rsidR="002D72DE" w:rsidRPr="000C38B5" w:rsidRDefault="002D72DE" w:rsidP="00D65564">
            <w:pPr>
              <w:rPr>
                <w:rFonts w:ascii="Times New Roman" w:hAnsi="Times New Roman" w:cs="Times New Roman"/>
                <w:sz w:val="20"/>
                <w:szCs w:val="20"/>
              </w:rPr>
            </w:pPr>
            <w:r>
              <w:rPr>
                <w:rFonts w:ascii="Times New Roman" w:hAnsi="Times New Roman" w:cs="Times New Roman"/>
                <w:bCs/>
                <w:sz w:val="20"/>
                <w:szCs w:val="20"/>
              </w:rPr>
              <w:t xml:space="preserve">CSİ/CT konusu dahil olmak üzere, riskli kadınlar, kızlar ve diğer gruplarla</w:t>
            </w:r>
            <w:r>
              <w:rPr>
                <w:rFonts w:ascii="Times New Roman" w:hAnsi="Times New Roman" w:cs="Times New Roman"/>
                <w:sz w:val="20"/>
                <w:szCs w:val="20"/>
              </w:rPr>
              <w:t xml:space="preserve"> kendilerini proje hakkında bilgilendirmek, proje tasarımı ve koruma sorunlarına ilişkin geri bildirimlerini almak, azaltım önlemlerine ilişkin bilgi düzeylerini ve bu önlemlerin etkinliğini değerlendirmek vb. amaçlarla proje PKP'sinin bir parçası olarak istişareler yürütülmesi, </w:t>
              <w:lastRenderedPageBreak/>
              <w:t xml:space="preserve"/>
            </w:r>
            <w:r>
              <w:rPr>
                <w:rStyle w:val="DipnotBavurusu"/>
                <w:rFonts w:ascii="Times New Roman" w:hAnsi="Times New Roman" w:cs="Times New Roman"/>
                <w:sz w:val="20"/>
                <w:szCs w:val="20"/>
              </w:rPr>
              <w:footnoteReference w:id="1"/>
            </w:r>
          </w:p>
        </w:tc>
        <w:tc>
          <w:tcPr>
            <w:tcW w:w="4140" w:type="dxa"/>
            <w:vAlign w:val="center"/>
          </w:tcPr>
          <w:p w14:paraId="34ACA250" w14:textId="4E52DE19"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PKP kapsamında CSİ/CT riski özellikle yüksek olan grupların belirlenmesi</w:t>
            </w:r>
          </w:p>
          <w:p w14:paraId="43905731" w14:textId="4A057944"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En savunmasız kesimlerle istişare için metodoloji ve yaklaşımların oluşturulması</w:t>
            </w:r>
          </w:p>
          <w:p w14:paraId="238B9086" w14:textId="370B7170" w:rsidR="002D72DE" w:rsidRPr="000C38B5" w:rsidRDefault="002D72DE" w:rsidP="00D65564">
            <w:pPr>
              <w:pStyle w:val="ListeParagraf"/>
              <w:numPr>
                <w:ilvl w:val="0"/>
                <w:numId w:val="9"/>
              </w:numPr>
              <w:ind w:left="163" w:hanging="163"/>
              <w:rPr>
                <w:rFonts w:ascii="Times New Roman" w:hAnsi="Times New Roman" w:cs="Times New Roman"/>
                <w:sz w:val="20"/>
                <w:szCs w:val="20"/>
              </w:rPr>
            </w:pPr>
            <w:r>
              <w:rPr>
                <w:rFonts w:ascii="Times New Roman" w:eastAsiaTheme="minorEastAsia" w:hAnsi="Times New Roman" w:cs="Times New Roman"/>
                <w:bCs/>
                <w:color w:val="000000" w:themeColor="text1"/>
                <w:sz w:val="20"/>
                <w:szCs w:val="20"/>
                <w:lang w:val="en-US"/>
              </w:rPr>
              <w:t xml:space="preserve">İstişarelerin güvenli ve destekleyici bir şekilde, aynı cinsiyetten, gerekli uzmanlığa sahip ve kültürel açıdan duyarlı yaklaşımlar benimseyen bir kolaylaştırıcı eşliğinde yürütülmesi</w:t>
            </w:r>
          </w:p>
          <w:p w14:paraId="5336CD65" w14:textId="4E0F1C70" w:rsidR="002D72DE" w:rsidRPr="000C38B5" w:rsidRDefault="002D72DE" w:rsidP="00D65564">
            <w:pPr>
              <w:pStyle w:val="ListeParagraf"/>
              <w:numPr>
                <w:ilvl w:val="0"/>
                <w:numId w:val="9"/>
              </w:numPr>
              <w:ind w:left="163" w:hanging="163"/>
              <w:rPr>
                <w:rFonts w:ascii="Times New Roman" w:hAnsi="Times New Roman" w:cs="Times New Roman"/>
                <w:sz w:val="20"/>
                <w:szCs w:val="20"/>
              </w:rPr>
            </w:pPr>
            <w:r>
              <w:rPr>
                <w:rFonts w:ascii="Times New Roman" w:hAnsi="Times New Roman" w:cs="Times New Roman"/>
                <w:color w:val="000000" w:themeColor="text1"/>
                <w:sz w:val="20"/>
                <w:szCs w:val="20"/>
                <w:lang w:val="en-US"/>
              </w:rPr>
              <w:t xml:space="preserve">Kadınlarla istişare için ayrı ve güvenli alanlar sağlanması; kadın örgütlerinin sürece dahil edilmesi; toplantıların uygun zaman/mekanlarda gerçekleştirilmesi</w:t>
            </w:r>
          </w:p>
        </w:tc>
        <w:tc>
          <w:tcPr>
            <w:tcW w:w="1530" w:type="dxa"/>
            <w:vAlign w:val="center"/>
          </w:tcPr>
          <w:p w14:paraId="5612BC48"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6CCD73B0" w14:textId="64A22684" w:rsidR="002D72DE" w:rsidRPr="000C38B5" w:rsidRDefault="00CD29F5"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p w14:paraId="7134CF6B"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Danışman(lar)</w:t>
            </w:r>
          </w:p>
          <w:p w14:paraId="78726BC9" w14:textId="36390866"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tc>
        <w:tc>
          <w:tcPr>
            <w:tcW w:w="1710" w:type="dxa"/>
            <w:vAlign w:val="center"/>
          </w:tcPr>
          <w:p w14:paraId="00C5369B"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Projenin yürürlüğe girmesinden önce</w:t>
            </w:r>
          </w:p>
          <w:p w14:paraId="589E04E4" w14:textId="40741FBF"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yaşam döngüsü boyunca</w:t>
            </w:r>
          </w:p>
        </w:tc>
        <w:tc>
          <w:tcPr>
            <w:tcW w:w="4140" w:type="dxa"/>
            <w:vAlign w:val="center"/>
          </w:tcPr>
          <w:p w14:paraId="4EF2B5BE" w14:textId="1F13D39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hAnsi="Times New Roman" w:cs="Times New Roman"/>
                <w:sz w:val="20"/>
                <w:szCs w:val="20"/>
              </w:rPr>
              <w:t xml:space="preserve">İstişarelere katılan </w:t>
            </w:r>
            <w:r>
              <w:rPr>
                <w:rFonts w:ascii="Times New Roman" w:eastAsiaTheme="minorEastAsia" w:hAnsi="Times New Roman" w:cs="Times New Roman"/>
                <w:bCs/>
                <w:color w:val="000000" w:themeColor="text1"/>
                <w:sz w:val="20"/>
                <w:szCs w:val="20"/>
                <w:lang w:val="en-US"/>
              </w:rPr>
              <w:t xml:space="preserve">kadın ve kız çocuğu (ve diğer savunmasız grup) sayısı </w:t>
            </w:r>
          </w:p>
          <w:p w14:paraId="2453E6AD" w14:textId="50832139" w:rsidR="002D72DE" w:rsidRPr="000C38B5" w:rsidRDefault="002D72DE" w:rsidP="00D65564">
            <w:pPr>
              <w:pStyle w:val="ListeParagraf"/>
              <w:numPr>
                <w:ilvl w:val="0"/>
                <w:numId w:val="2"/>
              </w:numPr>
              <w:ind w:left="77" w:hanging="142"/>
              <w:rPr>
                <w:rFonts w:ascii="Times New Roman" w:hAnsi="Times New Roman" w:cs="Times New Roman"/>
                <w:sz w:val="20"/>
                <w:szCs w:val="20"/>
              </w:rPr>
            </w:pPr>
            <w:r>
              <w:rPr>
                <w:rFonts w:ascii="Times New Roman" w:hAnsi="Times New Roman" w:cs="Times New Roman"/>
                <w:sz w:val="20"/>
                <w:szCs w:val="20"/>
              </w:rPr>
              <w:t xml:space="preserve">Kadınlar ve kız çocuklarıyla (ve diğer savunmasız gruplarla) </w:t>
            </w:r>
            <w:r>
              <w:rPr>
                <w:rFonts w:ascii="Times New Roman" w:eastAsiaTheme="minorEastAsia" w:hAnsi="Times New Roman" w:cs="Times New Roman"/>
                <w:bCs/>
                <w:color w:val="000000" w:themeColor="text1"/>
                <w:sz w:val="20"/>
                <w:szCs w:val="20"/>
                <w:lang w:val="en-US"/>
              </w:rPr>
              <w:t xml:space="preserve">yürütülen istişare sayısı</w:t>
            </w:r>
          </w:p>
          <w:p w14:paraId="412E76DE" w14:textId="0B488B53" w:rsidR="002D72DE" w:rsidRPr="000C38B5" w:rsidRDefault="002D72DE" w:rsidP="00D65564">
            <w:pPr>
              <w:pStyle w:val="ListeParagraf"/>
              <w:numPr>
                <w:ilvl w:val="0"/>
                <w:numId w:val="2"/>
              </w:numPr>
              <w:ind w:left="77" w:hanging="142"/>
              <w:rPr>
                <w:rFonts w:ascii="Times New Roman" w:hAnsi="Times New Roman" w:cs="Times New Roman"/>
                <w:sz w:val="20"/>
                <w:szCs w:val="20"/>
              </w:rPr>
            </w:pPr>
            <w:r>
              <w:rPr>
                <w:rFonts w:ascii="Times New Roman" w:eastAsiaTheme="minorEastAsia" w:hAnsi="Times New Roman" w:cs="Times New Roman"/>
                <w:bCs/>
                <w:color w:val="000000" w:themeColor="text1"/>
                <w:sz w:val="20"/>
                <w:szCs w:val="20"/>
                <w:lang w:val="en-US"/>
              </w:rPr>
              <w:t xml:space="preserve">Kadınlar ve kızları savunan sivil toplum kuruluşu (STK)/dernek sayısı</w:t>
            </w:r>
          </w:p>
        </w:tc>
        <w:tc>
          <w:tcPr>
            <w:tcW w:w="2160" w:type="dxa"/>
            <w:vAlign w:val="center"/>
          </w:tcPr>
          <w:p w14:paraId="4722D610" w14:textId="77777777"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AYGM PUB Sosyal Uzmanı</w:t>
            </w:r>
          </w:p>
          <w:p w14:paraId="2E930CE6" w14:textId="1958ADDD" w:rsidR="002D72DE" w:rsidRPr="000C38B5" w:rsidRDefault="00721442"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w:t>
            </w:r>
            <w:r>
              <w:rPr>
                <w:rFonts w:ascii="Times New Roman" w:hAnsi="Times New Roman" w:cs="Times New Roman"/>
                <w:color w:val="000000" w:themeColor="text1"/>
                <w:sz w:val="20"/>
                <w:szCs w:val="20"/>
                <w:lang w:val="en-US"/>
              </w:rPr>
              <w:t xml:space="preserve"> Toplumsal Cinsiyet Uzmanı</w:t>
            </w:r>
          </w:p>
        </w:tc>
        <w:tc>
          <w:tcPr>
            <w:tcW w:w="4590" w:type="dxa"/>
            <w:vAlign w:val="center"/>
          </w:tcPr>
          <w:p w14:paraId="23130D42"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PKP kapsamında CSİ/CT açısından savunmasız grupları belirleyen </w:t>
            </w:r>
            <w:r>
              <w:rPr>
                <w:rFonts w:ascii="Times New Roman" w:eastAsiaTheme="minorEastAsia" w:hAnsi="Times New Roman" w:cs="Times New Roman"/>
                <w:bCs/>
                <w:color w:val="000000" w:themeColor="text1"/>
                <w:sz w:val="20"/>
                <w:szCs w:val="20"/>
                <w:lang w:val="en-US"/>
              </w:rPr>
              <w:t xml:space="preserve">bir paydaş risk matrisi.</w:t>
            </w:r>
          </w:p>
          <w:p w14:paraId="2DC67EE4"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Cinsiyet ve savunmasızlık durumuna göre ayrıştırılmış katılımcı kayıtları. (İmzalı katılım listeleri)</w:t>
            </w:r>
          </w:p>
          <w:p w14:paraId="3C6A8914"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Özet raporlar ve</w:t>
            </w:r>
            <w:r>
              <w:rPr>
                <w:rFonts w:ascii="Times New Roman" w:eastAsiaTheme="minorEastAsia" w:hAnsi="Times New Roman" w:cs="Times New Roman"/>
                <w:bCs/>
                <w:color w:val="000000" w:themeColor="text1"/>
                <w:sz w:val="20"/>
                <w:szCs w:val="20"/>
              </w:rPr>
              <w:t xml:space="preserve"> toplantı </w:t>
            </w:r>
            <w:r>
              <w:rPr>
                <w:rFonts w:ascii="Times New Roman" w:eastAsiaTheme="minorEastAsia" w:hAnsi="Times New Roman" w:cs="Times New Roman"/>
                <w:bCs/>
                <w:color w:val="000000" w:themeColor="text1"/>
                <w:sz w:val="20"/>
                <w:szCs w:val="20"/>
                <w:lang w:val="en-US"/>
              </w:rPr>
              <w:t xml:space="preserve">tutanakları; her oturumun tarihini, yerini ve temel bulgularını belgelemektedir.</w:t>
            </w:r>
          </w:p>
          <w:p w14:paraId="5A629CC2" w14:textId="6C1E21F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Uzman sivil toplum kuruluşlarıyla yapılan istişarelere ilişkin resmi kayıtlar ve toplantı tutanakları</w:t>
            </w:r>
            <w:r>
              <w:rPr>
                <w:rFonts w:ascii="Times New Roman" w:eastAsiaTheme="minorEastAsia" w:hAnsi="Times New Roman" w:cs="Times New Roman"/>
                <w:bCs/>
                <w:color w:val="000000" w:themeColor="text1"/>
                <w:sz w:val="20"/>
                <w:szCs w:val="20"/>
              </w:rPr>
              <w:t xml:space="preserve">.</w:t>
            </w:r>
          </w:p>
        </w:tc>
      </w:tr>
      <w:tr w:rsidR="002D72DE" w:rsidRPr="000C38B5" w14:paraId="2EBF2736" w14:textId="77777777" w:rsidTr="002D72DE">
        <w:tc>
          <w:tcPr>
            <w:tcW w:w="2970" w:type="dxa"/>
            <w:shd w:val="clear" w:color="auto" w:fill="F2F2F2" w:themeFill="background1" w:themeFillShade="F2"/>
            <w:vAlign w:val="center"/>
          </w:tcPr>
          <w:p w14:paraId="2E9F1367" w14:textId="5ED37D1F"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lastRenderedPageBreak/>
              <w:t xml:space="preserve">(1) CSİ/CT'nin yaygınlığı &amp; </w:t>
            </w:r>
            <w:r>
              <w:rPr>
                <w:rFonts w:ascii="Times New Roman" w:eastAsiaTheme="minorEastAsia" w:hAnsi="Times New Roman" w:cs="Times New Roman"/>
                <w:b/>
                <w:bCs/>
                <w:color w:val="000000" w:themeColor="text1"/>
                <w:sz w:val="20"/>
                <w:szCs w:val="20"/>
                <w:lang w:val="en-US"/>
              </w:rPr>
              <w:t xml:space="preserve">(3) Yöneticiler ve çalışanlar    arasında CSİ/CT konusunda sınırlı farkındalık</w:t>
            </w:r>
          </w:p>
          <w:p w14:paraId="45C4DCE3" w14:textId="2C5ABF97"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&amp;</w:t>
            </w:r>
          </w:p>
          <w:p w14:paraId="6028C542" w14:textId="676B9A8C"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(2) Çalışma hayatında CSİ/CT'nin yaygınlığı</w:t>
            </w:r>
          </w:p>
          <w:p w14:paraId="51AE4AAB" w14:textId="26736C12"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&amp;</w:t>
            </w:r>
          </w:p>
          <w:p w14:paraId="04621D68" w14:textId="76725E46"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(7) Kadınlar ve erkekler arasında CSİ/CT hakkında düşük düzeyde bilgi &amp; </w:t>
            </w:r>
            <w:r>
              <w:rPr>
                <w:rFonts w:ascii="Times New Roman" w:eastAsiaTheme="minorEastAsia" w:hAnsi="Times New Roman" w:cs="Times New Roman"/>
                <w:b/>
                <w:bCs/>
                <w:color w:val="000000" w:themeColor="text1"/>
                <w:sz w:val="20"/>
                <w:szCs w:val="20"/>
                <w:lang w:val="en-US"/>
              </w:rPr>
              <w:t xml:space="preserve">(9) Kadınların çalışma hayatına katılımına ilişkin önyargılar</w:t>
            </w:r>
          </w:p>
          <w:p w14:paraId="233380D4" w14:textId="77777777"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&amp;</w:t>
            </w:r>
          </w:p>
          <w:p w14:paraId="481CAB49" w14:textId="21392B31"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(13) CSİ/CT mağdurlarının/hayatta kalanlarının hizmet sağlayıcılara başvuru oranının düşüklüğü &amp; (17) Koordinasyon eksikliği &amp;</w:t>
            </w:r>
            <w:r>
              <w:rPr>
                <w:rFonts w:ascii="Times New Roman" w:eastAsiaTheme="minorEastAsia" w:hAnsi="Times New Roman" w:cs="Times New Roman"/>
                <w:b/>
                <w:bCs/>
                <w:color w:val="000000" w:themeColor="text1"/>
                <w:sz w:val="20"/>
                <w:szCs w:val="20"/>
                <w:lang w:val="en-US"/>
              </w:rPr>
              <w:t xml:space="preserve"> (20) Altyapı sektöründe kadın istihdamının düşüklüğü</w:t>
            </w:r>
          </w:p>
        </w:tc>
        <w:tc>
          <w:tcPr>
            <w:tcW w:w="1800" w:type="dxa"/>
            <w:vAlign w:val="center"/>
          </w:tcPr>
          <w:p w14:paraId="38C6B193" w14:textId="193AFDDB"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Uygulayıcı kuruluş olan Ulaştırma ve Altyapı Bakanlığı ve Altyapı Yatırımları Genel Müdürlüğü (AYGM), yükleniciler, Denetim Danışmanı personeli, Topluluk İrtibat Görevlileri ve eğitmenler gibi proje çalışanlarının yanı sıra etkilenen topluluklar ve diğer temel paydaşlar (topluluk temsilcileri, CSİ/CT hizmet sağlayıcıları ve Kadın Hakları Örgütleri (WRO'lar) dahil) Divriği–Kars demiryolu koridoru boyunca CSİ/CT riskleri, ilgili ulusal mevzuat, mevcut destek hizmetleri, proje faaliyetleri, projenin şikayet giderimi, CSİ/CT Eylem Planı ve CSİ/CT müdahale mekanizmaları konusunda eğitilecek ve eğitim materyalleri hazırlanacaktır.</w:t>
            </w:r>
          </w:p>
        </w:tc>
        <w:tc>
          <w:tcPr>
            <w:tcW w:w="4140" w:type="dxa"/>
            <w:vAlign w:val="center"/>
          </w:tcPr>
          <w:p w14:paraId="36C5ACD6" w14:textId="7177C9EB"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Zorunlu CSİ/CT eğitiminin sağlanması; işe alım sürecine farkındalık unsurlarının dahil edilmesi; Davranış Kuralları'nın uygulanmasının düzenli olarak denetlenmesi, </w:t>
            </w:r>
            <w:r>
              <w:rPr>
                <w:rFonts w:ascii="Times New Roman" w:hAnsi="Times New Roman" w:cs="Times New Roman"/>
                <w:color w:val="000000" w:themeColor="text1"/>
                <w:sz w:val="20"/>
                <w:szCs w:val="20"/>
                <w:lang w:val="en-US"/>
              </w:rPr>
              <w:t xml:space="preserve">yüklenicilerin toplumsal cinsiyete duyarlı işe alım hedefleri belirlemesinin teşvik edilmesi; kadınların denetim ve topluluk irtibatı rollerine dahil edilmesi; ayrımcılık karşıtı politikaların uygulanması</w:t>
            </w:r>
          </w:p>
          <w:p w14:paraId="451EF9EA" w14:textId="2229D86B"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CSİ/CT, ilgili yasal mevzuat, CSİ/CT hizmet sağlayıcıları, Projenin CSİ/CT şikayet mekanizması hakkında farklı hedef gruplara yönelik olarak Türkçe ve gerektiğinde diğer dillerde eğitim materyallerinin (broşür ve poster gibi) ve CSİ/CT Eylem Planının hazırlanması ve dağıtılması; materyallerin iş yerlerinde erişilebilir kılınması</w:t>
            </w:r>
          </w:p>
          <w:p w14:paraId="58D468DE" w14:textId="603A202E"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Topluluk temsilcilerinin/muhtarların ve tüm proje çalışanlarının CSİ/CT riskleri, hizmet sağlayıcılar, yasal mevzuat ve projenin müdahale mekanizması hakkında bilgilendirilmesi</w:t>
            </w:r>
          </w:p>
          <w:p w14:paraId="7527D36A" w14:textId="5646C10A"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Yürütülen tüm eğitimlerden cinsiyete göre ayrıştırılmış şekilde geri bildirim toplanması ve raporlanması, katılımcıların ilettiği görüş ve soruları içeren bir raporun hazırlanması</w:t>
            </w:r>
          </w:p>
          <w:p w14:paraId="5ECE4F8F" w14:textId="3A603CBD"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Eğitim materyalinin geri bildirimler doğrultusunda revize edilmesi ve uygulanması</w:t>
            </w:r>
          </w:p>
          <w:p w14:paraId="5F17B7BD" w14:textId="24E0CABC"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Eğitim ihtiyaç analizi çalışmasının yürütülmesi</w:t>
            </w:r>
          </w:p>
          <w:p w14:paraId="5E30D78D" w14:textId="45445053"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PKP'nin 40, 41 ve 42. sayfalarında tanımlanan katılım planlamasıyla uyumlu olarak, düzenli katılım faaliyetleri sırasında paydaşların CSİ/CT konuları hakkında bilgilendirilmesi.</w:t>
            </w:r>
          </w:p>
          <w:p w14:paraId="14A00034" w14:textId="6BB2BA1E"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Projede yer alan uygulayıcı kurumların (PUB, Yükleniciler vb.) farklı seviyelerdeki temel personeli için eğitim ve farkındalık artırma faaliyetlerinin yürütülmesi</w:t>
            </w:r>
          </w:p>
          <w:p w14:paraId="4D0357C7" w14:textId="77777777"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illerindeki CSİ/CT/TCŞ hizmet sağlayıcılarının proje, CSİ/CT'ye duyarlı şikayet mekanizması ve eylem planı hakkında bilgilendirilmesi</w:t>
            </w:r>
          </w:p>
          <w:p w14:paraId="144B511A" w14:textId="77777777"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CSİ/CT konusundaki temel paydaşlarla (örn. İl Müdürlükleri, Belediyeler, Kadın Örgütleri, BM Kuruluşları) periyodik toplantılar düzenlenmesi</w:t>
            </w:r>
          </w:p>
          <w:p w14:paraId="42DFCD88" w14:textId="287303D3"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Tüm eğitimler için bir eğitim değerlendirme raporunun hazırlanması.</w:t>
            </w:r>
          </w:p>
        </w:tc>
        <w:tc>
          <w:tcPr>
            <w:tcW w:w="1530" w:type="dxa"/>
            <w:vAlign w:val="center"/>
          </w:tcPr>
          <w:p w14:paraId="54A54C52" w14:textId="5DB961A8" w:rsidR="002D72DE" w:rsidRPr="000C38B5" w:rsidRDefault="00CD29F5"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p w14:paraId="7DBBD455"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Danışman(lar)</w:t>
            </w:r>
          </w:p>
          <w:p w14:paraId="560DAA55" w14:textId="30F0D860"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tc>
        <w:tc>
          <w:tcPr>
            <w:tcW w:w="1710" w:type="dxa"/>
            <w:vAlign w:val="center"/>
          </w:tcPr>
          <w:p w14:paraId="3F0C40CB" w14:textId="37C32FCD" w:rsidR="002D72DE" w:rsidRPr="00473640"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Projenin </w:t>
            </w:r>
            <w:r>
              <w:rPr>
                <w:rFonts w:ascii="Times New Roman" w:eastAsiaTheme="minorEastAsia" w:hAnsi="Times New Roman" w:cs="Times New Roman"/>
                <w:bCs/>
                <w:color w:val="000000" w:themeColor="text1"/>
                <w:sz w:val="20"/>
                <w:szCs w:val="20"/>
                <w:lang w:val="en-US"/>
              </w:rPr>
              <w:t xml:space="preserve">yürürlüğe girmesinden önce</w:t>
            </w:r>
          </w:p>
          <w:p w14:paraId="78B174BF" w14:textId="77777777" w:rsidR="002D72DE" w:rsidRPr="00473640"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İşlerin başlamasından önce</w:t>
            </w:r>
          </w:p>
          <w:p w14:paraId="4D9A39D1" w14:textId="77777777" w:rsidR="002D72DE" w:rsidRPr="005C5329"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yaşam döngüsü boyunca</w:t>
            </w:r>
          </w:p>
          <w:p w14:paraId="39971C56" w14:textId="1184FD1F"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Tüm bilgiler altı ayda bir gözden geçirilecek ve güncellenecektir.</w:t>
            </w:r>
          </w:p>
        </w:tc>
        <w:tc>
          <w:tcPr>
            <w:tcW w:w="4140" w:type="dxa"/>
            <w:vAlign w:val="center"/>
          </w:tcPr>
          <w:p w14:paraId="107A066A" w14:textId="77777777" w:rsidR="002D72DE" w:rsidRPr="00345C3C"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color w:val="000000" w:themeColor="text1"/>
                <w:sz w:val="20"/>
                <w:szCs w:val="20"/>
              </w:rPr>
              <w:t xml:space="preserve">İşe alımın ilk haftasında</w:t>
            </w:r>
            <w:r>
              <w:rPr>
                <w:rFonts w:ascii="Times New Roman" w:eastAsiaTheme="minorEastAsia" w:hAnsi="Times New Roman" w:cs="Times New Roman"/>
                <w:bCs/>
                <w:color w:val="000000" w:themeColor="text1"/>
                <w:sz w:val="20"/>
                <w:szCs w:val="20"/>
              </w:rPr>
              <w:t xml:space="preserve"> eğitimi tamamlayan ve Davranış Kurallarını imzalayan çalışan sayısı.</w:t>
            </w:r>
          </w:p>
          <w:p w14:paraId="3C8ED72D" w14:textId="15B86E71" w:rsidR="002D72DE" w:rsidRPr="00345C3C"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İşe alım sırasında CSİ/CT eğitimini tamamlayan ve bilgilendirilen hedeflenen proje çalışanlarının (yükleniciler, danışmanlar, PUB personeli) yüzdesi</w:t>
            </w:r>
          </w:p>
          <w:p w14:paraId="5216F25B" w14:textId="21A23003"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Türkçe, İngilizce veya Arapça gibi farklı dillerde ve farklı hedef gruplara yönelik olarak hazırlanan eğitim materyali (kılavuz, sunum, broşür, poster, video vb.) sayısı.</w:t>
            </w:r>
          </w:p>
          <w:p w14:paraId="7E53C9F4"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Sürekli izlemeyi sağlamak amacıyla geri bildirim raporunun sunulma zamanlaması (örn. eğitimin tamamlanmasından itibaren 5 gün içinde).</w:t>
            </w:r>
          </w:p>
          <w:p w14:paraId="54F3F69A" w14:textId="19E7D7DD" w:rsidR="002D72DE" w:rsidRPr="00730FCB"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Eğitim ihtiyaç analizi çalışmasının ve gerekli tüm CSİ/CT teknik modüllerini kapsayan taslak versiyonunun ilk planlanan eğitim oturumundan önce tamamlanması (E/H)</w:t>
            </w:r>
          </w:p>
          <w:p w14:paraId="2684B036"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Taslak materyaller hakkında geri bildirim sağlayan ilgili paydaş/uzman sayısı.</w:t>
            </w:r>
          </w:p>
          <w:p w14:paraId="4B68CB21"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riskleri ve müdahale mekanizmaları konusunda eğitilen ve bilgilendirilen paydaş sayısı (yaşa göre ayrıştırılmış)</w:t>
            </w:r>
          </w:p>
          <w:p w14:paraId="1AF4AF52"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Koridor boyunca CSİ/CT farkındalık oturumlarına katılan hedeflenen topluluk üyelerinin yüzdesi</w:t>
            </w:r>
          </w:p>
          <w:p w14:paraId="37F6AE76"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CSİ/CT'nin resmi gündem maddesi olarak dahil edildiği düzenli farkındalık artırma faaliyeti, eğitim ve bilgilendirme toplantısı sayısı.</w:t>
            </w:r>
          </w:p>
          <w:p w14:paraId="0D8FBE43"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Projenin yönlendirme ve ŞM protokolleri hakkında resmi olarak bilgilendirilen belirlenmiş hizmet sağlayıcı sayısı.</w:t>
            </w:r>
          </w:p>
          <w:p w14:paraId="37AAE4EC"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Yıllık paydaş katılım programına göre gerçekleştirilen koordinasyon toplantılarının sıklığı/tutarlılığı.</w:t>
            </w:r>
          </w:p>
          <w:p w14:paraId="6D30C5AF" w14:textId="0868CDC6" w:rsidR="002D72DE" w:rsidRPr="00730FCB"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Her eğitim döngüsünün tamamlanmasının ardından değerlendirme raporunun zamanında (örn. 10 gün içinde) sunulması.</w:t>
            </w:r>
          </w:p>
        </w:tc>
        <w:tc>
          <w:tcPr>
            <w:tcW w:w="2160" w:type="dxa"/>
            <w:vAlign w:val="center"/>
          </w:tcPr>
          <w:p w14:paraId="56256203" w14:textId="77777777"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031CB281" w14:textId="551B00FD" w:rsidR="002D72DE" w:rsidRPr="001613C0" w:rsidRDefault="00CD29F5" w:rsidP="001613C0">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tc>
        <w:tc>
          <w:tcPr>
            <w:tcW w:w="4590" w:type="dxa"/>
            <w:vAlign w:val="center"/>
          </w:tcPr>
          <w:p w14:paraId="542ED15F" w14:textId="2A4DC921" w:rsidR="002D72DE" w:rsidRPr="000C38B5"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Eğitim sertifikaları ve imzalı Davranış Kuralları formları</w:t>
            </w:r>
          </w:p>
          <w:p w14:paraId="2B588EC7" w14:textId="7145FB2E" w:rsidR="002D72DE" w:rsidRPr="000C38B5"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Türkçe ve diğer dillerde hazırlanan eğitim materyali ve bilgilendirme materyalleri</w:t>
            </w:r>
          </w:p>
          <w:p w14:paraId="0BC3CCFD" w14:textId="546C979B" w:rsidR="002D72DE" w:rsidRPr="00473640"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rPr>
              <w:t xml:space="preserve">Güncellenmiş eğitim kılavuzları</w:t>
            </w:r>
          </w:p>
          <w:p w14:paraId="7A653CDE" w14:textId="0835F0B4" w:rsidR="002D72DE" w:rsidRPr="000C38B5"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Geri bildirim içeren eğitim sonrası değerlendirme raporları</w:t>
            </w:r>
          </w:p>
          <w:p w14:paraId="325368D5" w14:textId="77777777" w:rsidR="002D72DE"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Nihai eğitim ihtiyaç analizi raporu</w:t>
            </w:r>
          </w:p>
          <w:p w14:paraId="4C99A902" w14:textId="30AC0873"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Eğitim kayıtları, raporları ve değerlendirme formları</w:t>
            </w:r>
          </w:p>
          <w:p w14:paraId="134DC4F1"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rPr>
              <w:t xml:space="preserve">İşe alım oryantasyon (induction) kayıtları</w:t>
            </w:r>
          </w:p>
          <w:p w14:paraId="7EF8AFF0" w14:textId="70880A8C" w:rsidR="002D72DE" w:rsidRPr="000F092C" w:rsidRDefault="002D72DE" w:rsidP="00D65564">
            <w:pPr>
              <w:pStyle w:val="ListeParagraf"/>
              <w:numPr>
                <w:ilvl w:val="0"/>
                <w:numId w:val="2"/>
              </w:numPr>
              <w:ind w:left="77"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rPr>
              <w:t xml:space="preserve">Toplantı tutanakları, katılımcı listeleri veya resmi bildirim mektupları.</w:t>
            </w:r>
          </w:p>
        </w:tc>
      </w:tr>
      <w:tr w:rsidR="002D72DE" w:rsidRPr="000C38B5" w14:paraId="76C17745" w14:textId="77777777" w:rsidTr="002D72DE">
        <w:tc>
          <w:tcPr>
            <w:tcW w:w="2970" w:type="dxa"/>
            <w:shd w:val="clear" w:color="auto" w:fill="F2F2F2" w:themeFill="background1" w:themeFillShade="F2"/>
            <w:vAlign w:val="center"/>
          </w:tcPr>
          <w:p w14:paraId="18865F07" w14:textId="2BBA7E0C" w:rsidR="002D72DE" w:rsidRPr="00286B19"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(7)</w:t>
            </w:r>
            <w:r>
              <w:t xml:space="preserve"> </w:t>
            </w:r>
            <w:r>
              <w:rPr>
                <w:rFonts w:ascii="Times New Roman" w:hAnsi="Times New Roman" w:cs="Times New Roman"/>
                <w:b/>
                <w:bCs/>
                <w:color w:val="000000" w:themeColor="text1"/>
                <w:sz w:val="20"/>
                <w:szCs w:val="20"/>
                <w:lang w:val="en-US"/>
              </w:rPr>
              <w:t xml:space="preserve">Kadınlar ve erkekler arasında CSİ/CT hakkında düşük düzeyde bilgi &amp; (8)</w:t>
            </w:r>
            <w:r>
              <w:t xml:space="preserve"> </w:t>
            </w:r>
            <w:r>
              <w:rPr>
                <w:rFonts w:ascii="Times New Roman" w:hAnsi="Times New Roman" w:cs="Times New Roman"/>
                <w:b/>
                <w:bCs/>
                <w:color w:val="000000" w:themeColor="text1"/>
                <w:sz w:val="20"/>
                <w:szCs w:val="20"/>
                <w:lang w:val="en-US"/>
              </w:rPr>
              <w:t xml:space="preserve">İşçiler ile yerel topluluklar arasında doğrudan ve gözetimsiz etkileşimler.  &amp; (6) İşgücü akınıyla ilişkili CSİ/CT &amp; (13) CSİ/CT mağdurlarının/hayatta kalanlarının hizmet sağlayıcılara başvuru oranının düşüklüğü &amp; (22) İnşaat projelerinde yüksek işçi devir hızı</w:t>
              <w:lastRenderedPageBreak/>
              <w:t xml:space="preserve"/>
            </w:r>
          </w:p>
        </w:tc>
        <w:tc>
          <w:tcPr>
            <w:tcW w:w="1800" w:type="dxa"/>
            <w:vAlign w:val="center"/>
          </w:tcPr>
          <w:p w14:paraId="501B633E" w14:textId="22E24DAD"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lastRenderedPageBreak/>
              <w:t xml:space="preserve">CSİ/CT ve CSİ/CT hizmet sağlayıcıları hakkında broşür, poster gibi bilgilendirme materyalleri hazırlanacak ve PKP'de belirtilen kadınlar, kız çocukları ve savunmasız gruplar dahil olmak üzere etkilenen kişilere (PAP'lar) dağıtılarak</w:t>
              <w:lastRenderedPageBreak/>
              <w:t xml:space="preserve"/>
            </w:r>
            <w:r>
              <w:rPr>
                <w:rFonts w:ascii="Times New Roman" w:hAnsi="Times New Roman" w:cs="Times New Roman"/>
                <w:sz w:val="20"/>
                <w:szCs w:val="20"/>
              </w:rPr>
              <w:t xml:space="preserve"> CSİ/CT, ulusal yasa ve yönetmelikler, CSİ/CT ile ilgili sorunlar, Projenin CSİ/CT ŞM'si ve mevcut TCŞ hizmetleri hakkında toplum farkındalığı artırılacaktır.</w:t>
            </w:r>
          </w:p>
        </w:tc>
        <w:tc>
          <w:tcPr>
            <w:tcW w:w="4140" w:type="dxa"/>
            <w:vAlign w:val="center"/>
          </w:tcPr>
          <w:p w14:paraId="0B9D52A4" w14:textId="1906FD86"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İlgili yasalar/mevzuat, CSİ/CT riskleri ve önlenmesi, CSİ/CT ŞM'si ve mevcut hizmet sağlayıcılar hakkında taslak bilgilendirme materyallerinin ve bilgilendirme faaliyetlerinin hazırlanması</w:t>
            </w:r>
          </w:p>
          <w:p w14:paraId="2D781D7E"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Taslak broşürlerin hazırlanması</w:t>
            </w:r>
          </w:p>
          <w:p w14:paraId="5A69483B" w14:textId="5ECAA21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Taslak bilgilendirme materyalleri hakkında paydaşlardan geri bildirim toplanması.</w:t>
            </w:r>
          </w:p>
          <w:p w14:paraId="466377F7" w14:textId="64EFE698"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Broşürlerin oluşturulması, test edilmesi, basılması ve tüm proje çalışanlarına, topluluklara ve diğer temel paydaşlara dağıtılması.</w:t>
            </w:r>
          </w:p>
        </w:tc>
        <w:tc>
          <w:tcPr>
            <w:tcW w:w="1530" w:type="dxa"/>
            <w:vAlign w:val="center"/>
          </w:tcPr>
          <w:p w14:paraId="5737E743" w14:textId="4F6D7741" w:rsidR="002D72DE" w:rsidRPr="000C38B5" w:rsidRDefault="00721442"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PMC Toplumsal Cinsiyet Uzmanı</w:t>
            </w:r>
          </w:p>
          <w:p w14:paraId="34A57B66"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p w14:paraId="6D13D2BB" w14:textId="50F2F233"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Danışman(lar)</w:t>
            </w:r>
          </w:p>
        </w:tc>
        <w:tc>
          <w:tcPr>
            <w:tcW w:w="1710" w:type="dxa"/>
            <w:vAlign w:val="center"/>
          </w:tcPr>
          <w:p w14:paraId="7E3160C4"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Sahadaki proje faaliyetlerinin başlamasından önce</w:t>
            </w:r>
          </w:p>
          <w:p w14:paraId="41327751" w14:textId="1D910DE1"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Yaşam Döngüsü Boyunca</w:t>
            </w:r>
          </w:p>
          <w:p w14:paraId="45BB14FE" w14:textId="7DA5A8D7" w:rsidR="002D72DE" w:rsidRPr="00E867D9"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TCŞ hizmet sağlayıcı listesindeki güncellemelere dayalı olarak, tüm bilgiler altı ayda bir gözden geçirilecek ve güncellenecektir.</w:t>
            </w:r>
          </w:p>
        </w:tc>
        <w:tc>
          <w:tcPr>
            <w:tcW w:w="4140" w:type="dxa"/>
            <w:vAlign w:val="center"/>
          </w:tcPr>
          <w:p w14:paraId="3FD95F9A" w14:textId="1BB27D4A"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Dağıtılan broşür sayısı (il bazında dağılım ile)</w:t>
            </w:r>
          </w:p>
          <w:p w14:paraId="5CAC34B1" w14:textId="653B57D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Asılan poster sayısı (il bazında dağılım ile)</w:t>
            </w:r>
          </w:p>
          <w:p w14:paraId="40600311"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Posterlerin asıldığı kurum sayısı (il bazında dağılım ile)</w:t>
            </w:r>
          </w:p>
          <w:p w14:paraId="56527E53" w14:textId="1C7FFD1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Farkındalık artırma faaliyetlerinin hedeflediği topluluk üyesi sayısı (cinsiyete göre ayrıştırılmış)</w:t>
            </w:r>
          </w:p>
          <w:p w14:paraId="4896D975" w14:textId="77777777" w:rsidR="002D72DE" w:rsidRPr="00286B19"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color w:val="000000" w:themeColor="text1"/>
                <w:sz w:val="20"/>
                <w:szCs w:val="20"/>
              </w:rPr>
              <w:t xml:space="preserve">Nihai basılı broşürleri alan proje sahaları ve</w:t>
            </w:r>
            <w:r>
              <w:rPr>
                <w:rFonts w:ascii="Times New Roman" w:eastAsiaTheme="minorEastAsia" w:hAnsi="Times New Roman" w:cs="Times New Roman"/>
                <w:bCs/>
                <w:color w:val="000000" w:themeColor="text1"/>
                <w:sz w:val="20"/>
                <w:szCs w:val="20"/>
              </w:rPr>
              <w:t xml:space="preserve"> çalışanlarının yüzdesi.</w:t>
            </w:r>
          </w:p>
          <w:p w14:paraId="56F28930" w14:textId="2D661D0B"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Projeye yeni bir işçi eklendiğinde</w:t>
            </w:r>
          </w:p>
        </w:tc>
        <w:tc>
          <w:tcPr>
            <w:tcW w:w="2160" w:type="dxa"/>
            <w:vAlign w:val="center"/>
          </w:tcPr>
          <w:p w14:paraId="41A4007B"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AYGM PUB Sosyal Uzmanı</w:t>
            </w:r>
          </w:p>
          <w:p w14:paraId="3185CB2F" w14:textId="03AA0061" w:rsidR="002D72DE" w:rsidRPr="000C38B5"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tc>
        <w:tc>
          <w:tcPr>
            <w:tcW w:w="4590" w:type="dxa"/>
            <w:vAlign w:val="center"/>
          </w:tcPr>
          <w:p w14:paraId="09D87FFA" w14:textId="66BF6A09"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Broşür, poster ve diğer bilgilendirme materyalleri</w:t>
            </w:r>
          </w:p>
          <w:p w14:paraId="3918F171"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Paydaş geri bildirim kayıtları veya istişare tutanakları.</w:t>
            </w:r>
          </w:p>
          <w:p w14:paraId="74D08E42" w14:textId="5F91855A"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Nihai basılı broşürler ve dağıtım kayıtları.</w:t>
            </w:r>
          </w:p>
        </w:tc>
      </w:tr>
      <w:tr w:rsidR="002D72DE" w:rsidRPr="000C38B5" w14:paraId="78D78C0E" w14:textId="77777777" w:rsidTr="002D72DE">
        <w:trPr>
          <w:trHeight w:val="378"/>
        </w:trPr>
        <w:tc>
          <w:tcPr>
            <w:tcW w:w="23040" w:type="dxa"/>
            <w:gridSpan w:val="8"/>
            <w:shd w:val="clear" w:color="auto" w:fill="D5DCE4" w:themeFill="text2" w:themeFillTint="33"/>
            <w:vAlign w:val="center"/>
          </w:tcPr>
          <w:p w14:paraId="12B0DD66" w14:textId="3945EDD0" w:rsidR="002D72DE" w:rsidRPr="000C38B5" w:rsidRDefault="002D72DE" w:rsidP="00D65564">
            <w:pPr>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Strateji 4: CSİ/CT şikayetleri için şikayet mekanizmasının etkin şekilde işlemesinin sağlanması</w:t>
            </w:r>
          </w:p>
        </w:tc>
      </w:tr>
      <w:tr w:rsidR="002D72DE" w:rsidRPr="000C38B5" w14:paraId="09B8C272" w14:textId="77777777" w:rsidTr="002D72DE">
        <w:tc>
          <w:tcPr>
            <w:tcW w:w="2970" w:type="dxa"/>
            <w:shd w:val="clear" w:color="auto" w:fill="F2F2F2" w:themeFill="background1" w:themeFillShade="F2"/>
            <w:vAlign w:val="center"/>
          </w:tcPr>
          <w:p w14:paraId="05D8E713"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(13) CSİ/CT mağdurlarının/hayatta kalanlarının hizmet sağlayıcılara başvuru oranının düşüklüğü</w:t>
            </w:r>
          </w:p>
          <w:p w14:paraId="0CA3F7DE"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&amp;</w:t>
            </w:r>
          </w:p>
          <w:p w14:paraId="7A3AA3E5" w14:textId="2CA921B4" w:rsidR="002D72DE" w:rsidRPr="0021043D"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(15) Özel/ayrı kanalların bulunmaması</w:t>
            </w:r>
          </w:p>
        </w:tc>
        <w:tc>
          <w:tcPr>
            <w:tcW w:w="1800" w:type="dxa"/>
            <w:vAlign w:val="center"/>
          </w:tcPr>
          <w:p w14:paraId="0B705EF4" w14:textId="10AC6EF7"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CSİ/CT'ye duyarlı bir şikayet mekanizması oluşturulacaktır.</w:t>
            </w:r>
          </w:p>
        </w:tc>
        <w:tc>
          <w:tcPr>
            <w:tcW w:w="4140" w:type="dxa"/>
            <w:vAlign w:val="center"/>
          </w:tcPr>
          <w:p w14:paraId="06456707" w14:textId="65B1E00C"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şikayet mekanizması örneklerinin incelenmesi</w:t>
            </w:r>
          </w:p>
          <w:p w14:paraId="1BCEC73D" w14:textId="3854968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şikayet mekanizması prosedürlerinin tanımlanması</w:t>
            </w:r>
          </w:p>
          <w:p w14:paraId="37755007" w14:textId="6C1BB3D6"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PKP'sinin, CSİ/CT şikayetlerinin ele alınmasına yönelik özel mekanizmaları ve mağdur/hayatta kalan odaklı yaklaşımı (yani başvuru formları, yönlendirme protokolleri, bilgi paylaşım araçları) içerecek şekilde revize edilmesi</w:t>
            </w:r>
          </w:p>
          <w:p w14:paraId="62A54D5E" w14:textId="528351E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şikayetlerinin yönetiminde yer alan tüm paydaşlar için eğitim planlarının geliştirilmesi</w:t>
            </w:r>
          </w:p>
          <w:p w14:paraId="670921B2" w14:textId="15E9990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hAnsi="Times New Roman" w:cs="Times New Roman"/>
                <w:sz w:val="20"/>
                <w:szCs w:val="20"/>
              </w:rPr>
              <w:t xml:space="preserve">Gerektiğinde uzmanlık seferber edilmesi, </w:t>
            </w:r>
            <w:r>
              <w:rPr>
                <w:rFonts w:ascii="Times New Roman" w:eastAsiaTheme="minorEastAsia" w:hAnsi="Times New Roman" w:cs="Times New Roman"/>
                <w:bCs/>
                <w:color w:val="000000" w:themeColor="text1"/>
                <w:sz w:val="20"/>
                <w:szCs w:val="20"/>
                <w:lang w:val="en-US"/>
              </w:rPr>
              <w:t xml:space="preserve">CSİ/CT ŞM'sinin işlevselleştirilmesine ve eğitimine yönelik teknik yardım (TA) sağlanması (uygunsa CSİ/CT görevlisinin Görev Tanımına dahil edilecektir).</w:t>
            </w:r>
          </w:p>
          <w:p w14:paraId="688E1586" w14:textId="571B3FF2" w:rsidR="002D72DE" w:rsidRPr="00473640" w:rsidRDefault="002D72DE" w:rsidP="00D65564">
            <w:pPr>
              <w:pStyle w:val="ListeParagraf"/>
              <w:numPr>
                <w:ilvl w:val="0"/>
                <w:numId w:val="2"/>
              </w:numPr>
              <w:ind w:left="77" w:hanging="142"/>
              <w:rPr>
                <w:rFonts w:ascii="Times New Roman" w:hAnsi="Times New Roman" w:cs="Times New Roman"/>
                <w:sz w:val="20"/>
                <w:szCs w:val="20"/>
              </w:rPr>
            </w:pPr>
            <w:r>
              <w:rPr>
                <w:rFonts w:ascii="Times New Roman" w:eastAsiaTheme="minorEastAsia" w:hAnsi="Times New Roman" w:cs="Times New Roman"/>
                <w:bCs/>
                <w:color w:val="000000" w:themeColor="text1"/>
                <w:sz w:val="20"/>
                <w:szCs w:val="20"/>
                <w:lang w:val="en-US"/>
              </w:rPr>
              <w:t xml:space="preserve">GM'nin (ŞM'nin) temel unsurlarının HVMÇ'ye yansıtılması</w:t>
            </w:r>
          </w:p>
          <w:p w14:paraId="017701C8" w14:textId="60013DE4" w:rsidR="002D72DE" w:rsidRPr="00473640"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Çalışanların ve toplulukların projenin şikayet mekanizması hakkında bilgilendirilmesi</w:t>
            </w:r>
          </w:p>
        </w:tc>
        <w:tc>
          <w:tcPr>
            <w:tcW w:w="1530" w:type="dxa"/>
            <w:vAlign w:val="center"/>
          </w:tcPr>
          <w:p w14:paraId="12F4A662" w14:textId="4F0B49C9"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0534CE37" w14:textId="79951B40"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p w14:paraId="65573A65" w14:textId="54D9771E" w:rsidR="002D72DE" w:rsidRPr="00336C9E"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tc>
        <w:tc>
          <w:tcPr>
            <w:tcW w:w="1710" w:type="dxa"/>
            <w:vAlign w:val="center"/>
          </w:tcPr>
          <w:p w14:paraId="6FB8CA08" w14:textId="163E0BCB" w:rsidR="002D72DE" w:rsidRPr="000C38B5" w:rsidRDefault="002D72DE" w:rsidP="00D65564">
            <w:pPr>
              <w:rPr>
                <w:rFonts w:ascii="Times New Roman" w:eastAsiaTheme="minorEastAsia" w:hAnsi="Times New Roman" w:cs="Times New Roman"/>
                <w:bCs/>
                <w:color w:val="000000" w:themeColor="text1"/>
                <w:sz w:val="20"/>
                <w:szCs w:val="20"/>
                <w:lang w:val="en-US"/>
              </w:rPr>
            </w:pPr>
          </w:p>
          <w:p w14:paraId="70F75D73" w14:textId="59F0389D" w:rsidR="002D72DE" w:rsidRPr="000C38B5" w:rsidRDefault="002D72DE" w:rsidP="00D65564">
            <w:pPr>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Sahadaki herhangi bir faaliyetin başlamasından önce</w:t>
            </w:r>
          </w:p>
        </w:tc>
        <w:tc>
          <w:tcPr>
            <w:tcW w:w="4140" w:type="dxa"/>
            <w:vAlign w:val="center"/>
          </w:tcPr>
          <w:p w14:paraId="7285F03E" w14:textId="1762E7E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Uluslararası/yerel CSİ/CT ŞM modelleri üzerine yapılan araştırmanın tamamlanma durumu. (E/H)</w:t>
            </w:r>
          </w:p>
          <w:p w14:paraId="7FF5265D" w14:textId="6762B48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Adım adım başvuru alma ve işleme prosedürlerinin taslak belgede resmileştirilmesi (E/H)</w:t>
            </w:r>
          </w:p>
          <w:p w14:paraId="3A4A6B15" w14:textId="71993AE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Mağdur/hayatta kalan odaklı araçların (örn. yönlendirme haritaları, başvuru formları) PKP'ye entegre edilme durumu.</w:t>
            </w:r>
          </w:p>
          <w:p w14:paraId="0AAA8761" w14:textId="0E97680D"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şikayetlerini alma ve ele almadan sorumlu personel için özel bir eğitim müfredatının tamamlanması</w:t>
            </w:r>
          </w:p>
          <w:p w14:paraId="01FBC9AE" w14:textId="10BEC7C0"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Teknik yardım (TA) gerekliliklerinin ve CSİ/CT sorumluluklarının personel/danışman Görev Tanımlarına (ToR) dahil edilmesi.</w:t>
            </w:r>
          </w:p>
          <w:p w14:paraId="03B4D8FE" w14:textId="18F1DA1D"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ŞM prosedürleri ile HVMÇ'de tanımlanan müdahale/yaptırım protokolleri arasındaki uyumun kontrolü (E/H).</w:t>
            </w:r>
          </w:p>
          <w:p w14:paraId="5A1FC115" w14:textId="47B0BE2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ŞM bildirim kanallarının açıkça iletildiği topluluk toplantısı ve personel oryantasyon oturumu sayısı.</w:t>
            </w:r>
          </w:p>
          <w:p w14:paraId="27551CFC" w14:textId="3CC436F0" w:rsidR="002D72DE" w:rsidRPr="00C57AA2"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HVMÇ'ye uygun şekilde işlenen CSİ/CT olayları ve CSİ/CT şikayetlerinin sayısı (yaş, cinsiyet, bildirilen şiddet türü</w:t>
            </w:r>
            <w:r>
              <w:rPr>
                <w:rFonts w:ascii="Times New Roman" w:hAnsi="Times New Roman" w:cs="Times New Roman"/>
                <w:sz w:val="20"/>
                <w:szCs w:val="20"/>
              </w:rPr>
              <w:t xml:space="preserve">, durum/açık/kapalı vb. bazında ayrıştırılmış)</w:t>
            </w:r>
          </w:p>
        </w:tc>
        <w:tc>
          <w:tcPr>
            <w:tcW w:w="2160" w:type="dxa"/>
            <w:vAlign w:val="center"/>
          </w:tcPr>
          <w:p w14:paraId="03F2FEBB" w14:textId="72C08F23" w:rsidR="002D72DE"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Dünya Bankası Görev Ekibi</w:t>
            </w:r>
          </w:p>
          <w:p w14:paraId="3F6DD61C" w14:textId="1980F991"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0745ABCB" w14:textId="328F4D3C"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tc>
        <w:tc>
          <w:tcPr>
            <w:tcW w:w="4590" w:type="dxa"/>
            <w:vAlign w:val="center"/>
          </w:tcPr>
          <w:p w14:paraId="06616D51" w14:textId="5A3A49C9"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ŞM için taslak Standart İşletim Prosedürleri (SOP'lar).</w:t>
            </w:r>
          </w:p>
          <w:p w14:paraId="3A0B41B0" w14:textId="16DF0919"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Özel CSİ/CT eklerini içeren revize edilmiş PKP belgesi.</w:t>
            </w:r>
          </w:p>
          <w:p w14:paraId="432AAAF5" w14:textId="6A65F5A6"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ŞM İrtibat Noktaları için Hedeflenmiş Eğitim Planı.</w:t>
            </w:r>
          </w:p>
          <w:p w14:paraId="2B61B507" w14:textId="019C0561"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Danışman sözleşmeleri ve güncellenmiş Görev Tanımları (ToR'lar).</w:t>
            </w:r>
          </w:p>
          <w:p w14:paraId="324BE3A6" w14:textId="4F9E8F8D"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Tamamlanmış Hesap Verebilirlik ve Müdahale Çerçevesi (HVMÇ).</w:t>
            </w:r>
          </w:p>
          <w:p w14:paraId="04CA352E" w14:textId="477DC1DB"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Farkındalık materyalleri (poster, broşür) ve bilgilendirme kayıtları.</w:t>
            </w:r>
          </w:p>
          <w:p w14:paraId="16DC3FB9" w14:textId="5B311E3A"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şikayet kayıtları</w:t>
            </w:r>
          </w:p>
        </w:tc>
      </w:tr>
      <w:tr w:rsidR="002D72DE" w:rsidRPr="000C38B5" w14:paraId="7EFBC977" w14:textId="77777777" w:rsidTr="002D72DE">
        <w:tc>
          <w:tcPr>
            <w:tcW w:w="2970" w:type="dxa"/>
            <w:shd w:val="clear" w:color="auto" w:fill="F2F2F2" w:themeFill="background1" w:themeFillShade="F2"/>
            <w:vAlign w:val="center"/>
          </w:tcPr>
          <w:p w14:paraId="4BB96678" w14:textId="1E88CDFA"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(16) Hassas verilerin gizliliğinin sağlanamaması</w:t>
            </w:r>
          </w:p>
        </w:tc>
        <w:tc>
          <w:tcPr>
            <w:tcW w:w="1800" w:type="dxa"/>
            <w:vAlign w:val="center"/>
          </w:tcPr>
          <w:p w14:paraId="2C42933B" w14:textId="67455714"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Proje, ŞM'ye yapılan CSİ/CT şikayetlerinin veri kaydı ve paylaşımını güvence altına alacak şekilde yapılandırılacaktır.</w:t>
            </w:r>
          </w:p>
        </w:tc>
        <w:tc>
          <w:tcPr>
            <w:tcW w:w="4140" w:type="dxa"/>
            <w:vAlign w:val="center"/>
          </w:tcPr>
          <w:p w14:paraId="3A2FE74A"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ŞM içine CSİ/CT ile ilgili şikayetlerin kaydedilmesi için ayrı bir kayıt defterinin entegre edilmesi</w:t>
            </w:r>
          </w:p>
          <w:p w14:paraId="2369547A" w14:textId="73ED13A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Projeye bildirilen CSİ/CT olaylarına mağdur/hayatta kalan odaklı bir yaklaşımla yanıt verilmesi</w:t>
            </w:r>
          </w:p>
          <w:p w14:paraId="27775DA1" w14:textId="22FEB1B9"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Bu kayıt defterine erişebilecek/kullanabilecek sorumlu kişilerin belirlenmesi.</w:t>
            </w:r>
          </w:p>
          <w:p w14:paraId="1847A29F" w14:textId="1C557E1E"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Mağdurların/hayatta kalanların hak ve isteklerine öncelik verilerek doğrulama yapılması ve eylemde bulunulması</w:t>
            </w:r>
          </w:p>
          <w:p w14:paraId="5238AFC0" w14:textId="6558A452" w:rsidR="002D72DE" w:rsidRPr="00473640"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CSİ/CT hizmet sağlayıcılarıyla bilgi paylaşım prosedürlerinin tanımlanması</w:t>
            </w:r>
          </w:p>
          <w:p w14:paraId="3E4DC3D2" w14:textId="5FE49C0C" w:rsidR="002D72DE" w:rsidRPr="00473640"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Prosedürlerde tanımlanan gizlilik kurallarının ihlaline ilişkin yaptırımların tüm çalışanlar için Davranış Kurallarına dahil edilmesi</w:t>
            </w:r>
          </w:p>
        </w:tc>
        <w:tc>
          <w:tcPr>
            <w:tcW w:w="1530" w:type="dxa"/>
            <w:vAlign w:val="center"/>
          </w:tcPr>
          <w:p w14:paraId="1E440AAC" w14:textId="714C5690"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2D41AB99" w14:textId="58B092FC" w:rsidR="002D72DE"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p w14:paraId="61793CF9" w14:textId="0CDCD009" w:rsidR="002D72DE" w:rsidRPr="002A3F48"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tc>
        <w:tc>
          <w:tcPr>
            <w:tcW w:w="1710" w:type="dxa"/>
            <w:vAlign w:val="center"/>
          </w:tcPr>
          <w:p w14:paraId="11170565" w14:textId="4D8E26F4" w:rsidR="002D72DE" w:rsidRPr="000C38B5" w:rsidRDefault="002D72DE" w:rsidP="00D65564">
            <w:pPr>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Yaşam Döngüsü Boyunca</w:t>
            </w:r>
          </w:p>
        </w:tc>
        <w:tc>
          <w:tcPr>
            <w:tcW w:w="4140" w:type="dxa"/>
            <w:vAlign w:val="center"/>
          </w:tcPr>
          <w:p w14:paraId="39FC24D2" w14:textId="5A906C9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ŞM'ye entegre edilmiş, işlevsel olarak (sanal veya fiziksel olarak) kilitli bir CSİ/CT şikayet kayıt defteri.</w:t>
            </w:r>
          </w:p>
          <w:p w14:paraId="7B2B5774"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vakalarının sayısı/yüzdesi</w:t>
            </w:r>
          </w:p>
          <w:p w14:paraId="4069FBF3"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Yetkilendirilmiş erişim düzeylerine sahip ve gizlilik sözleşmesi imzalamış yetkili personelin belgelenmiş listesi</w:t>
            </w:r>
          </w:p>
          <w:p w14:paraId="74111CA2" w14:textId="040573E0"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Herhangi bir doğrulama veya eylem adımı başlatılmadan önce mağdur/hayatta kalan rızasının alındığına dair kanıt (E/H)</w:t>
            </w:r>
          </w:p>
          <w:p w14:paraId="27D5E67E"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Hangi verilerin kiminle paylaşılabileceğini tanımlayan resmileştirilmiş paylaşım prosedürlerinin tamamlanma durumu (E/H)</w:t>
            </w:r>
          </w:p>
          <w:p w14:paraId="3ACC0D63" w14:textId="129D544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Gizlilik ihlallerine yönelik yaptırımlara ilişkin özel hükümlerin Davranış Kurallarına entegre edilme durumu (E/H).</w:t>
            </w:r>
          </w:p>
        </w:tc>
        <w:tc>
          <w:tcPr>
            <w:tcW w:w="2160" w:type="dxa"/>
            <w:vAlign w:val="center"/>
          </w:tcPr>
          <w:p w14:paraId="76E8A1CA" w14:textId="69190CEB"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412A71DF" w14:textId="5F35F7C8" w:rsidR="002D72DE" w:rsidRPr="00C57AA2"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tc>
        <w:tc>
          <w:tcPr>
            <w:tcW w:w="4590" w:type="dxa"/>
            <w:vAlign w:val="center"/>
          </w:tcPr>
          <w:p w14:paraId="6883D618"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ŞM'ye entegre edilmiş güvenli CSİ/CT şikayet kayıt defteri</w:t>
            </w:r>
          </w:p>
          <w:p w14:paraId="08C800B0"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Olay müdahale kayıtları / Vaka işleme dosyaları</w:t>
            </w:r>
          </w:p>
          <w:p w14:paraId="67AE88C6"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Erişim Yetkilendirme Listesi</w:t>
            </w:r>
          </w:p>
          <w:p w14:paraId="147A96D8"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Doğrulama Raporları ve Eylem Kayıtları</w:t>
            </w:r>
          </w:p>
          <w:p w14:paraId="5265278D"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Bilgi paylaşım protokolü / Yönlendirme protokolü</w:t>
            </w:r>
          </w:p>
          <w:p w14:paraId="145F48DD" w14:textId="3812004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Revize edilmiş Davranış Kuralları</w:t>
            </w:r>
          </w:p>
        </w:tc>
      </w:tr>
      <w:tr w:rsidR="002D72DE" w:rsidRPr="000C38B5" w14:paraId="21E2BB95" w14:textId="77777777" w:rsidTr="002D72DE">
        <w:tc>
          <w:tcPr>
            <w:tcW w:w="2970" w:type="dxa"/>
            <w:shd w:val="clear" w:color="auto" w:fill="F2F2F2" w:themeFill="background1" w:themeFillShade="F2"/>
            <w:vAlign w:val="center"/>
          </w:tcPr>
          <w:p w14:paraId="3F754528" w14:textId="1797EE56"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(4) AYGM PUB'da toplumsal cinsiyet ve CSİ/CT konusunda sınırlı uzmanlık</w:t>
            </w:r>
          </w:p>
        </w:tc>
        <w:tc>
          <w:tcPr>
            <w:tcW w:w="1800" w:type="dxa"/>
            <w:vAlign w:val="center"/>
          </w:tcPr>
          <w:p w14:paraId="42117E3F" w14:textId="6D66D9F7"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Tüm seviyelerdeki ŞM irtibat noktalarına, ŞM'nin bir parçası olarak CSİ/CT müdahale mekanizmasındaki sorumlulukları konusunda eğitim verilecektir.</w:t>
              <w:lastRenderedPageBreak/>
              <w:t xml:space="preserve"/>
            </w:r>
          </w:p>
        </w:tc>
        <w:tc>
          <w:tcPr>
            <w:tcW w:w="4140" w:type="dxa"/>
            <w:vAlign w:val="center"/>
          </w:tcPr>
          <w:p w14:paraId="322DA6A7" w14:textId="6F3B2AF4"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PKP'de CSİ/CT şikayet kayıt formunun yöntem ve ilkelerinin sunulması.</w:t>
            </w:r>
          </w:p>
          <w:p w14:paraId="093246A6" w14:textId="1C13EBEF" w:rsidR="002D72DE" w:rsidRPr="00C57AA2"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PKP'de tanımlanan ŞM irtibat noktalarına ve vaka kabulünü gerçekleştirecek diğer sorumlu kişilere, mağdurları hizmetlere yönlendirme konusunda proje HVMÇ'sine</w:t>
            </w:r>
            <w:r>
              <w:rPr>
                <w:rFonts w:ascii="Times New Roman" w:eastAsiaTheme="minorEastAsia" w:hAnsi="Times New Roman" w:cs="Times New Roman"/>
                <w:color w:val="000000" w:themeColor="text1"/>
                <w:sz w:val="20"/>
                <w:szCs w:val="20"/>
                <w:lang w:val="en-US"/>
              </w:rPr>
              <w:t xml:space="preserve"> dayalı olarak eğitim verilmesi ve formun </w:t>
            </w:r>
            <w:r>
              <w:rPr>
                <w:rFonts w:ascii="Times New Roman" w:eastAsiaTheme="minorEastAsia" w:hAnsi="Times New Roman" w:cs="Times New Roman"/>
                <w:bCs/>
                <w:color w:val="000000" w:themeColor="text1"/>
                <w:sz w:val="20"/>
                <w:szCs w:val="20"/>
                <w:lang w:val="en-US"/>
              </w:rPr>
              <w:t xml:space="preserve">kullanılması dahil olmak üzere eğitim sağlanması</w:t>
            </w:r>
          </w:p>
        </w:tc>
        <w:tc>
          <w:tcPr>
            <w:tcW w:w="1530" w:type="dxa"/>
            <w:vAlign w:val="center"/>
          </w:tcPr>
          <w:p w14:paraId="26502F44" w14:textId="4BADDB63"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AYGM PUB Sosyal Uzmanı</w:t>
            </w:r>
          </w:p>
          <w:p w14:paraId="6D321586" w14:textId="174D08AE"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PMC Toplumsal Cinsiyet Uzmanı</w:t>
            </w:r>
          </w:p>
          <w:p w14:paraId="165798D0" w14:textId="037E1799" w:rsidR="002D72DE"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Danışman(lar)</w:t>
            </w:r>
          </w:p>
          <w:p w14:paraId="5C977942" w14:textId="59346D3C" w:rsidR="002D72DE" w:rsidRPr="00C57AA2"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tc>
        <w:tc>
          <w:tcPr>
            <w:tcW w:w="1710" w:type="dxa"/>
            <w:vAlign w:val="center"/>
          </w:tcPr>
          <w:p w14:paraId="0072232C" w14:textId="0F2191E4" w:rsidR="002D72DE" w:rsidRPr="0021043D"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Sahadaki herhangi bir faaliyetin başlamasından önce</w:t>
            </w:r>
          </w:p>
          <w:p w14:paraId="34250989" w14:textId="559AEDB8"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Proje yaşam döngüsü boyunca altı ayda bir</w:t>
            </w:r>
          </w:p>
        </w:tc>
        <w:tc>
          <w:tcPr>
            <w:tcW w:w="4140" w:type="dxa"/>
            <w:vAlign w:val="center"/>
          </w:tcPr>
          <w:p w14:paraId="76F49CE4" w14:textId="3F11828E"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CSİ/CT başvuru formunun ve mağdur/hayatta kalan odaklı ilkelerin tamamlanmış PKP'ye dahil edilme durumu (E/H).</w:t>
            </w:r>
          </w:p>
          <w:p w14:paraId="66A64B68" w14:textId="290CC58A"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Eğitilen kadın/erkek sayısı</w:t>
            </w:r>
          </w:p>
        </w:tc>
        <w:tc>
          <w:tcPr>
            <w:tcW w:w="2160" w:type="dxa"/>
            <w:vAlign w:val="center"/>
          </w:tcPr>
          <w:p w14:paraId="287B44A8" w14:textId="6427AA53"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14A7CBC5" w14:textId="6ED348C7" w:rsidR="002D72DE" w:rsidRPr="00C57AA2"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tc>
        <w:tc>
          <w:tcPr>
            <w:tcW w:w="4590" w:type="dxa"/>
            <w:vAlign w:val="center"/>
          </w:tcPr>
          <w:p w14:paraId="0EED6DE4" w14:textId="1CFE55A0" w:rsidR="002D72DE"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CSİ/CT olay kabulü ve yönlendirme prosedürlerine ilişkin eğitim materyalleri</w:t>
            </w:r>
          </w:p>
          <w:p w14:paraId="585CB7DC" w14:textId="7D122EA0"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CSİ/CT başvuru protokollerini içeren güncellenmiş PKP.</w:t>
            </w:r>
          </w:p>
          <w:p w14:paraId="397FCEAA"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CSİ/CT şikayet kayıt formu kullanım kılavuzu</w:t>
            </w:r>
          </w:p>
          <w:p w14:paraId="04410921" w14:textId="4C604DC5"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Katılım listeleri</w:t>
            </w:r>
          </w:p>
        </w:tc>
      </w:tr>
      <w:tr w:rsidR="002D72DE" w:rsidRPr="000C38B5" w14:paraId="6B1B72C3" w14:textId="77777777" w:rsidTr="002D72DE">
        <w:trPr>
          <w:trHeight w:val="535"/>
        </w:trPr>
        <w:tc>
          <w:tcPr>
            <w:tcW w:w="2970" w:type="dxa"/>
            <w:shd w:val="clear" w:color="auto" w:fill="F2F2F2" w:themeFill="background1" w:themeFillShade="F2"/>
            <w:vAlign w:val="center"/>
          </w:tcPr>
          <w:p w14:paraId="05C71370" w14:textId="16735E68" w:rsidR="002D72DE" w:rsidRPr="00547B8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lastRenderedPageBreak/>
              <w:t xml:space="preserve">(5) Yüklenicilerde CSİ/CT'ye duyarlı tanımlanmış soruşturma süreçlerinin ve prosedürlerinin bulunmaması</w:t>
            </w:r>
          </w:p>
        </w:tc>
        <w:tc>
          <w:tcPr>
            <w:tcW w:w="1800" w:type="dxa"/>
            <w:vAlign w:val="center"/>
          </w:tcPr>
          <w:p w14:paraId="6AE2CE1A" w14:textId="3EE1D220"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Tüm proje paydaşlarının iç CSİ/CT'ye duyarlı toplumsal cinsiyet açısından duyarlı soruşturma prosedürleri, Projenin HVMÇ'sinin bir parçası olarak tanımlanacak ve geliştirilecektir</w:t>
            </w:r>
          </w:p>
        </w:tc>
        <w:tc>
          <w:tcPr>
            <w:tcW w:w="4140" w:type="dxa"/>
            <w:vAlign w:val="center"/>
          </w:tcPr>
          <w:p w14:paraId="6AE86A22" w14:textId="74DA6854"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 yöneticileri ve AYGM PUB ile, kurumlarının mevcut şikayet, bildirim ve soruşturma süreçlerini CSİ/CT açısından gözden geçirmek üzere bir toplantı düzenlenmesi.</w:t>
            </w:r>
          </w:p>
          <w:p w14:paraId="713C9468" w14:textId="1B3E7FE5"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İddianın CSİ/CT tanımı kapsamına girip girmediğini ve fail zanlısının Projeyle ilişkili olup olmadığını belirlemek üzere bir CSİ/CT Etik Komitesi kurulması.</w:t>
            </w:r>
          </w:p>
          <w:p w14:paraId="3C1655F0" w14:textId="353C5AA5"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 ve AYGM PUB'un CSİ/CT için izlenecek iç soruşturma prosedürlerini toplantılar, eğitimler, örnek prosedür geliştirme ve örnek broşürler oluşturma gibi yollarla tanımlaması konusunda teşvik edilmesi ve desteklenmesi.</w:t>
            </w:r>
          </w:p>
          <w:p w14:paraId="25CFA095" w14:textId="381F05F2"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Tüm sorumlu personel TCŞ ve CSİ/CT konusunda eğitilecektir.</w:t>
            </w:r>
          </w:p>
        </w:tc>
        <w:tc>
          <w:tcPr>
            <w:tcW w:w="1530" w:type="dxa"/>
            <w:vAlign w:val="center"/>
          </w:tcPr>
          <w:p w14:paraId="79FBF647" w14:textId="282C7E04"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w:t>
            </w:r>
          </w:p>
          <w:p w14:paraId="0959A4CB" w14:textId="5691CF85" w:rsidR="002D72DE" w:rsidRPr="000C38B5" w:rsidRDefault="00721442"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p w14:paraId="335A33EF" w14:textId="76E55A8B" w:rsidR="002D72DE" w:rsidRPr="00D93194"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tc>
        <w:tc>
          <w:tcPr>
            <w:tcW w:w="1710" w:type="dxa"/>
            <w:vAlign w:val="center"/>
          </w:tcPr>
          <w:p w14:paraId="1A09B7C1" w14:textId="3E007A22" w:rsidR="002D72DE" w:rsidRPr="000C38B5" w:rsidRDefault="002D72DE" w:rsidP="00D65564">
            <w:pPr>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 xml:space="preserve">Proje Yaşam Döngüsü Boyunca</w:t>
            </w:r>
          </w:p>
        </w:tc>
        <w:tc>
          <w:tcPr>
            <w:tcW w:w="4140" w:type="dxa"/>
            <w:vAlign w:val="center"/>
          </w:tcPr>
          <w:p w14:paraId="2A40756F" w14:textId="77777777" w:rsidR="002D72DE" w:rsidRPr="000C38B5" w:rsidRDefault="002D72DE" w:rsidP="00D65564">
            <w:pPr>
              <w:ind w:left="98"/>
              <w:rPr>
                <w:rFonts w:ascii="Times New Roman" w:hAnsi="Times New Roman" w:cs="Times New Roman"/>
                <w:color w:val="000000" w:themeColor="text1"/>
                <w:sz w:val="20"/>
                <w:szCs w:val="20"/>
                <w:lang w:val="en-US"/>
              </w:rPr>
            </w:pPr>
          </w:p>
          <w:p w14:paraId="5C1A888B" w14:textId="173BCDE0" w:rsidR="002D72DE" w:rsidRPr="0021043D" w:rsidRDefault="002D72DE" w:rsidP="00D65564">
            <w:pPr>
              <w:pStyle w:val="ListeParagraf"/>
              <w:numPr>
                <w:ilvl w:val="0"/>
                <w:numId w:val="2"/>
              </w:numPr>
              <w:ind w:left="163" w:hanging="18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rPr>
              <w:t xml:space="preserve">Gözden geçirme toplantısı sayısı</w:t>
            </w:r>
          </w:p>
          <w:p w14:paraId="1397EC16" w14:textId="62E82A8F" w:rsidR="002D72DE" w:rsidRDefault="002D72DE" w:rsidP="00D65564">
            <w:pPr>
              <w:pStyle w:val="ListeParagraf"/>
              <w:numPr>
                <w:ilvl w:val="0"/>
                <w:numId w:val="2"/>
              </w:numPr>
              <w:ind w:left="163" w:hanging="18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CSİ/CT Etik Komitesinin resmi olarak kurulma durumu</w:t>
            </w:r>
          </w:p>
          <w:p w14:paraId="4F91CDC4" w14:textId="070D8A4A" w:rsidR="002D72DE" w:rsidRPr="0021043D" w:rsidRDefault="002D72DE" w:rsidP="00D65564">
            <w:pPr>
              <w:pStyle w:val="ListeParagraf"/>
              <w:numPr>
                <w:ilvl w:val="0"/>
                <w:numId w:val="2"/>
              </w:numPr>
              <w:ind w:left="163" w:hanging="18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Eğitilen personel sayısı ve teknik destek oturumu (toplantı/çalıştay) sayısı</w:t>
            </w:r>
          </w:p>
        </w:tc>
        <w:tc>
          <w:tcPr>
            <w:tcW w:w="2160" w:type="dxa"/>
            <w:vAlign w:val="center"/>
          </w:tcPr>
          <w:p w14:paraId="584F79B8" w14:textId="2FF9B991" w:rsidR="002D72DE" w:rsidRDefault="002D72DE" w:rsidP="00D65564">
            <w:pPr>
              <w:pStyle w:val="ListeParagraf"/>
              <w:numPr>
                <w:ilvl w:val="0"/>
                <w:numId w:val="2"/>
              </w:numPr>
              <w:ind w:left="73" w:hanging="142"/>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AYGM PUB Sosyal Uzmanı</w:t>
            </w:r>
          </w:p>
          <w:p w14:paraId="278FB531" w14:textId="75CE61D2" w:rsidR="002D72DE" w:rsidRPr="000C38B5" w:rsidRDefault="00721442" w:rsidP="00D65564">
            <w:pPr>
              <w:pStyle w:val="ListeParagraf"/>
              <w:numPr>
                <w:ilvl w:val="0"/>
                <w:numId w:val="2"/>
              </w:numPr>
              <w:ind w:left="73" w:hanging="142"/>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PMC Toplumsal Cinsiyet Uzmanı</w:t>
            </w:r>
          </w:p>
        </w:tc>
        <w:tc>
          <w:tcPr>
            <w:tcW w:w="4590" w:type="dxa"/>
            <w:vAlign w:val="center"/>
          </w:tcPr>
          <w:p w14:paraId="2FCD1069" w14:textId="3D5F3084"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Gözden geçirme toplantısı tutanakları</w:t>
            </w:r>
          </w:p>
          <w:p w14:paraId="158EE225" w14:textId="4484D548"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Komite için Resmi Atama Mektubu ve Görev Tanımı</w:t>
            </w:r>
          </w:p>
          <w:p w14:paraId="35B16E9E" w14:textId="5B99B598"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İç Soruşturma Kılavuzu taslakları, örnek prosedürler ve örnek broşürler.</w:t>
            </w:r>
          </w:p>
          <w:p w14:paraId="2DF1B7D1" w14:textId="77777777"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Eğitim değerlendirme raporu</w:t>
            </w:r>
          </w:p>
          <w:p w14:paraId="4F26F33D" w14:textId="37B7C189" w:rsidR="002D72DE" w:rsidRPr="000C38B5"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Katılım listeleri</w:t>
            </w:r>
          </w:p>
        </w:tc>
      </w:tr>
      <w:tr w:rsidR="002D72DE" w:rsidRPr="000C38B5" w14:paraId="22DBA50B" w14:textId="77777777" w:rsidTr="002D72DE">
        <w:trPr>
          <w:trHeight w:val="445"/>
        </w:trPr>
        <w:tc>
          <w:tcPr>
            <w:tcW w:w="23040" w:type="dxa"/>
            <w:gridSpan w:val="8"/>
            <w:shd w:val="clear" w:color="auto" w:fill="D5DCE4" w:themeFill="text2" w:themeFillTint="33"/>
            <w:vAlign w:val="center"/>
          </w:tcPr>
          <w:p w14:paraId="43ECF5DC" w14:textId="11BD14E5" w:rsidR="002D72DE" w:rsidRPr="000C38B5" w:rsidRDefault="002D72DE" w:rsidP="00D65564">
            <w:pPr>
              <w:rPr>
                <w:rFonts w:ascii="Times New Roman" w:eastAsiaTheme="minorEastAsia" w:hAnsi="Times New Roman" w:cs="Times New Roman"/>
                <w:b/>
                <w:bCs/>
                <w:color w:val="000000" w:themeColor="text1"/>
                <w:sz w:val="20"/>
                <w:szCs w:val="20"/>
              </w:rPr>
            </w:pPr>
            <w:r>
              <w:rPr>
                <w:rFonts w:ascii="Times New Roman" w:eastAsiaTheme="minorEastAsia" w:hAnsi="Times New Roman" w:cs="Times New Roman"/>
                <w:b/>
                <w:bCs/>
                <w:color w:val="000000" w:themeColor="text1"/>
                <w:sz w:val="20"/>
                <w:szCs w:val="20"/>
                <w:lang w:val="en-US"/>
              </w:rPr>
              <w:t xml:space="preserve">Strateji 5: Saygılı, güvenli ve tacizden arındırılmış bir işyeri oluşturulması</w:t>
            </w:r>
          </w:p>
        </w:tc>
      </w:tr>
      <w:tr w:rsidR="002D72DE" w:rsidRPr="000C38B5" w14:paraId="26F3D779" w14:textId="77777777" w:rsidTr="002D72DE">
        <w:tc>
          <w:tcPr>
            <w:tcW w:w="2970" w:type="dxa"/>
            <w:shd w:val="clear" w:color="auto" w:fill="F2F2F2" w:themeFill="background1" w:themeFillShade="F2"/>
            <w:vAlign w:val="center"/>
          </w:tcPr>
          <w:p w14:paraId="4450FFCA" w14:textId="06C6E041" w:rsidR="002D72DE" w:rsidRPr="0021043D"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(14) İstihdam süreçlerinin sunumunun cinsel istismar için kullanılabilmesi</w:t>
            </w:r>
          </w:p>
        </w:tc>
        <w:tc>
          <w:tcPr>
            <w:tcW w:w="1800" w:type="dxa"/>
            <w:vAlign w:val="center"/>
          </w:tcPr>
          <w:p w14:paraId="27DF04E7" w14:textId="617454AA"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İşe alım süreçlerinin CSİ/CT riskleri açısından gözden geçirilmesi ve gerekli düzenlemelerin yapılması (gerekiyorsa).</w:t>
            </w:r>
          </w:p>
        </w:tc>
        <w:tc>
          <w:tcPr>
            <w:tcW w:w="4140" w:type="dxa"/>
            <w:vAlign w:val="center"/>
          </w:tcPr>
          <w:p w14:paraId="2B61C985" w14:textId="7B450718"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İşe alım sürecinde yer alan herkesin CSİ/CT ve Davranış Kuralları hakkında bilgilendirilmesi. İşe alım süreci sırasında tespit edilen ayrımcı uygulamalar belirlenecek ve yeniden düzenlenecektir.</w:t>
            </w:r>
          </w:p>
        </w:tc>
        <w:tc>
          <w:tcPr>
            <w:tcW w:w="1530" w:type="dxa"/>
            <w:vAlign w:val="center"/>
          </w:tcPr>
          <w:p w14:paraId="01F8029F" w14:textId="10D86F21"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Uzmanı</w:t>
            </w:r>
          </w:p>
          <w:p w14:paraId="5765DC2B" w14:textId="14689229"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tc>
        <w:tc>
          <w:tcPr>
            <w:tcW w:w="1710" w:type="dxa"/>
            <w:vAlign w:val="center"/>
          </w:tcPr>
          <w:p w14:paraId="4EE99F00" w14:textId="02FBAFA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uygulaması sırasında</w:t>
            </w:r>
          </w:p>
        </w:tc>
        <w:tc>
          <w:tcPr>
            <w:tcW w:w="4140" w:type="dxa"/>
            <w:vAlign w:val="center"/>
          </w:tcPr>
          <w:p w14:paraId="5D045A5F" w14:textId="63A4A9C5"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Bilgilendirilen kişi sayısı.</w:t>
            </w:r>
          </w:p>
          <w:p w14:paraId="31CBD8E0" w14:textId="67A569B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Tespit edilen ve başarıyla düzeltilerek yeniden düzenlenen ayrımcı uygulamaların yüzdesi.</w:t>
            </w:r>
          </w:p>
        </w:tc>
        <w:tc>
          <w:tcPr>
            <w:tcW w:w="2160" w:type="dxa"/>
            <w:vAlign w:val="center"/>
          </w:tcPr>
          <w:p w14:paraId="534DE5EF"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1E6CA5C0" w14:textId="6BCC20DD"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tc>
        <w:tc>
          <w:tcPr>
            <w:tcW w:w="4590" w:type="dxa"/>
            <w:vAlign w:val="center"/>
          </w:tcPr>
          <w:p w14:paraId="2555B0DB" w14:textId="0DC9F8AB"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Bilgilendirme toplantıları.</w:t>
            </w:r>
          </w:p>
          <w:p w14:paraId="491F735E" w14:textId="3DAEB353"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İstihdamda toplumsal cinsiyete dayalı ayrımcılığın önlenmesine ilişkin düzenleyici belge (Davranış Kuralları vb.).</w:t>
            </w:r>
          </w:p>
        </w:tc>
      </w:tr>
      <w:tr w:rsidR="002D72DE" w:rsidRPr="000C38B5" w14:paraId="222D4862" w14:textId="77777777" w:rsidTr="002D72DE">
        <w:tc>
          <w:tcPr>
            <w:tcW w:w="2970" w:type="dxa"/>
            <w:shd w:val="clear" w:color="auto" w:fill="F2F2F2" w:themeFill="background1" w:themeFillShade="F2"/>
            <w:vAlign w:val="center"/>
          </w:tcPr>
          <w:p w14:paraId="0CE87506" w14:textId="6EFDE2EA"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(2) Çalışma hayatında CSİ/CT'nin yaygınlığı</w:t>
            </w:r>
          </w:p>
          <w:p w14:paraId="002D2227"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&amp;</w:t>
            </w:r>
          </w:p>
          <w:p w14:paraId="0A495C78" w14:textId="5E0EE907" w:rsidR="002D72DE" w:rsidRPr="00547B8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(6) İşgücü akınıyla ilişkili CSİ/CT &amp; (8) İşçiler ile yerel topluluklar arasında doğrudan ve gözetimsiz etkileşimler &amp; (22) İnşaat projelerinde yüksek işçi devir hızı</w:t>
            </w:r>
          </w:p>
        </w:tc>
        <w:tc>
          <w:tcPr>
            <w:tcW w:w="1800" w:type="dxa"/>
            <w:vAlign w:val="center"/>
          </w:tcPr>
          <w:p w14:paraId="5457814C" w14:textId="0C6295E1"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Proje çalışanları için CSİ/CT ile ilgili hükümleri içeren bir Davranış Kuralları hazırlanacak ve tüm çalışanlar bunu imzalayacaktır.</w:t>
            </w:r>
          </w:p>
        </w:tc>
        <w:tc>
          <w:tcPr>
            <w:tcW w:w="4140" w:type="dxa"/>
            <w:vAlign w:val="center"/>
          </w:tcPr>
          <w:p w14:paraId="13768C74" w14:textId="25F21874" w:rsidR="002D72DE" w:rsidRPr="00737D00"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Davranış Kuralları belgesinin İngilizce ve Türkçe olarak hazırlanması.</w:t>
            </w:r>
          </w:p>
          <w:p w14:paraId="382E41DA" w14:textId="74098561" w:rsidR="002D72DE" w:rsidRPr="00737D00"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Tüm çalışanlardan zorunlu imza toplanması gerekecektir.</w:t>
            </w:r>
          </w:p>
          <w:p w14:paraId="604790C5" w14:textId="7B7A7D28" w:rsidR="002D72DE" w:rsidRPr="00737D00"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Her işçi ve yüklenici için Davranış Kuralları, gereklilikleri ve yaptırımları ile CSİ/CT önlenmesi konusunda eğitim verilmesi.</w:t>
            </w:r>
          </w:p>
        </w:tc>
        <w:tc>
          <w:tcPr>
            <w:tcW w:w="1530" w:type="dxa"/>
            <w:vAlign w:val="center"/>
          </w:tcPr>
          <w:p w14:paraId="5073D061" w14:textId="1148B1B8"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p w14:paraId="73D28894"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p w14:paraId="1734D6DD" w14:textId="4D87D7F3"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Danışman(lar) </w:t>
            </w:r>
          </w:p>
        </w:tc>
        <w:tc>
          <w:tcPr>
            <w:tcW w:w="1710" w:type="dxa"/>
            <w:vAlign w:val="center"/>
          </w:tcPr>
          <w:p w14:paraId="1C5762A0" w14:textId="7112534F"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Her işçi için, sahaya yerleştirilmeden ve herhangi bir faaliyete başlamadan önce</w:t>
            </w:r>
          </w:p>
          <w:p w14:paraId="3C0817FA" w14:textId="02C4E1AA"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yaşam döngüsü boyunca</w:t>
            </w:r>
          </w:p>
        </w:tc>
        <w:tc>
          <w:tcPr>
            <w:tcW w:w="4140" w:type="dxa"/>
            <w:vAlign w:val="center"/>
          </w:tcPr>
          <w:p w14:paraId="520D562E" w14:textId="1F4CECE3"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CSİ/CT'yi ele alan Davranış Kurallarının mevcut olması (E/H) </w:t>
            </w:r>
          </w:p>
          <w:p w14:paraId="58349588" w14:textId="77777777"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Davranış Kurallarını imzalayan çalışan sayısı (kadın/erkek)</w:t>
            </w:r>
          </w:p>
          <w:p w14:paraId="11E2742E" w14:textId="0286112C"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paydaşları için düzenlenen eğitim oturumu sayısı</w:t>
            </w:r>
          </w:p>
          <w:p w14:paraId="377191C7" w14:textId="58759417"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Davranış Kuralları konusunda eğitilen proje paydaşı sayısı</w:t>
            </w:r>
          </w:p>
        </w:tc>
        <w:tc>
          <w:tcPr>
            <w:tcW w:w="2160" w:type="dxa"/>
            <w:vAlign w:val="center"/>
          </w:tcPr>
          <w:p w14:paraId="122E70C2"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3F6F85F1" w14:textId="1CA607CD"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p w14:paraId="1AF24128" w14:textId="5287727B" w:rsidR="002D72DE" w:rsidRPr="00721442" w:rsidRDefault="002D72DE" w:rsidP="00721442">
            <w:pPr>
              <w:ind w:left="-69"/>
              <w:rPr>
                <w:rFonts w:ascii="Times New Roman" w:eastAsiaTheme="minorEastAsia" w:hAnsi="Times New Roman" w:cs="Times New Roman"/>
                <w:bCs/>
                <w:color w:val="000000" w:themeColor="text1"/>
                <w:sz w:val="20"/>
                <w:szCs w:val="20"/>
                <w:lang w:val="en-US"/>
              </w:rPr>
            </w:pPr>
          </w:p>
        </w:tc>
        <w:tc>
          <w:tcPr>
            <w:tcW w:w="4590" w:type="dxa"/>
            <w:vAlign w:val="center"/>
          </w:tcPr>
          <w:p w14:paraId="232B1051"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riskleri hakkında bilgilendirmenin ardından tüm çalışanlar tarafından imzalanan Davranış Kuralları</w:t>
            </w:r>
          </w:p>
          <w:p w14:paraId="77F3E003"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Eğitim değerlendirme raporları</w:t>
            </w:r>
          </w:p>
          <w:p w14:paraId="5ABA6868" w14:textId="55762F3C"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Eğitim katılım listeleri</w:t>
            </w:r>
          </w:p>
        </w:tc>
      </w:tr>
      <w:tr w:rsidR="002D72DE" w:rsidRPr="000C38B5" w14:paraId="7DD6DEFE" w14:textId="77777777" w:rsidTr="002D72DE">
        <w:trPr>
          <w:trHeight w:val="985"/>
        </w:trPr>
        <w:tc>
          <w:tcPr>
            <w:tcW w:w="2970" w:type="dxa"/>
            <w:shd w:val="clear" w:color="auto" w:fill="F2F2F2" w:themeFill="background1" w:themeFillShade="F2"/>
            <w:vAlign w:val="center"/>
          </w:tcPr>
          <w:p w14:paraId="5F12DA97"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(11) CSİ/CT'ye duyarlı kentsel hizmetlerin yetersizliği</w:t>
            </w:r>
          </w:p>
          <w:p w14:paraId="08BDBC0C"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&amp;</w:t>
            </w:r>
          </w:p>
          <w:p w14:paraId="110ED3E2" w14:textId="36F42FF7" w:rsidR="002D72DE" w:rsidRPr="008D1E9D"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(18) Proje tesisleriyle ilgili güvenlik sorunları</w:t>
            </w:r>
          </w:p>
        </w:tc>
        <w:tc>
          <w:tcPr>
            <w:tcW w:w="1800" w:type="dxa"/>
            <w:vAlign w:val="center"/>
          </w:tcPr>
          <w:p w14:paraId="56EF83D1" w14:textId="7DDB848C" w:rsidR="002D72DE" w:rsidRPr="000C38B5" w:rsidRDefault="002D72DE" w:rsidP="00D65564">
            <w:pPr>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İşçi konaklama tesisleri dahil olmak üzere tüm proje tesislerinin yeri, tasarımı ve fiziksel koşulları, olası CSİ/CT risklerini belirlemek ve azaltmak amacıyla değerlendirilecektir. Tesislerin; temiz, güvenli ve iklime uygun yaşam alanları, yeterli havalandırma, toplumsal cinsiyete duyarlı konaklama düzenlemeleri ve asgari alan gerekliliklerini sağlayan ilgili standartlara uyması gerekecektir. Bu değerlendirme doğrultusunda, tüm işçiler için güvenli ve kapsayıcı bir ortamı desteklemek amacıyla gerekli düzenlemeler yapılacaktır.</w:t>
              <w:lastRenderedPageBreak/>
              <w:t xml:space="preserve"/>
            </w:r>
          </w:p>
        </w:tc>
        <w:tc>
          <w:tcPr>
            <w:tcW w:w="4140" w:type="dxa"/>
            <w:vAlign w:val="center"/>
          </w:tcPr>
          <w:p w14:paraId="08192FC1" w14:textId="7BED9AE1"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Fiziksel koşullardaki olası CSİ/CT risklerini belirlemek ve azaltmak için bir kontrol listesi geliştirilmesi.</w:t>
            </w:r>
          </w:p>
          <w:p w14:paraId="20ED63B5" w14:textId="65288685" w:rsidR="002D72DE" w:rsidRPr="008D1E9D"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Kontrol listesinin bu paydaşların ihtiyaçlarını kapsadığından emin olmak amacıyla, özellikle kadın işçiler ve işçilerle etkileşimde bulunan diğer kadınlar/kız çocuklarıyla katılım faaliyetleri yoluyla istişareler yürütülmesi.</w:t>
            </w:r>
          </w:p>
          <w:p w14:paraId="4CA369DF" w14:textId="0CFBA8DC"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Tesislerin yeri ve fiziksel koşullarının CSİ/CT riskleri açısından değerlendirilmesi ile tesislerin buna göre belirlenmesi ve düzenlenmesi</w:t>
            </w:r>
          </w:p>
          <w:p w14:paraId="26C42866" w14:textId="3BDB95EC"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Olası CSİ/CT risklerini izlemek ve azaltmak amacıyla fiziksel koşulların kontrol listesi kullanılarak periyodik olarak değerlendirilmesi ve raporlanması.</w:t>
            </w:r>
          </w:p>
          <w:p w14:paraId="75AB6FD4" w14:textId="77777777" w:rsidR="002D72DE" w:rsidRPr="008D1E9D"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hAnsi="Times New Roman" w:cs="Times New Roman"/>
                <w:sz w:val="20"/>
                <w:szCs w:val="20"/>
              </w:rPr>
              <w:t xml:space="preserve">Yüklenicilerin </w:t>
            </w:r>
            <w:r>
              <w:rPr>
                <w:rFonts w:ascii="Times New Roman" w:hAnsi="Times New Roman" w:cs="Times New Roman"/>
                <w:color w:val="000000" w:themeColor="text1"/>
                <w:sz w:val="20"/>
                <w:szCs w:val="20"/>
              </w:rPr>
              <w:t xml:space="preserve">proje sahaları çevresinde küçük ölçekli güvenlik önlemleri (geçici aydınlatma, tabela ve erişilebilir yürüyüş yolları gibi) uygulamasının zorunlu kılınması. </w:t>
              <w:lastRenderedPageBreak/>
              <w:t xml:space="preserve"/>
            </w:r>
          </w:p>
          <w:p w14:paraId="54531055" w14:textId="3B9E89BD"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rPr>
              <w:t xml:space="preserve">Mevcut destek hizmetlerinin görünürlüğünün artırılması</w:t>
            </w:r>
          </w:p>
        </w:tc>
        <w:tc>
          <w:tcPr>
            <w:tcW w:w="1530" w:type="dxa"/>
            <w:vAlign w:val="center"/>
          </w:tcPr>
          <w:p w14:paraId="0BC78A43" w14:textId="16CC2882" w:rsidR="002D72DE" w:rsidRDefault="00721442"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PMC Toplumsal Cinsiyet Uzmanı</w:t>
            </w:r>
          </w:p>
          <w:p w14:paraId="54EE95D8" w14:textId="77777777" w:rsidR="002D72DE"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p w14:paraId="1A7AE70C" w14:textId="0C41D755" w:rsidR="002D72DE" w:rsidRPr="0021043D"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Danışman(lar)</w:t>
            </w:r>
          </w:p>
        </w:tc>
        <w:tc>
          <w:tcPr>
            <w:tcW w:w="1710" w:type="dxa"/>
            <w:vAlign w:val="center"/>
          </w:tcPr>
          <w:p w14:paraId="5DA09FC4" w14:textId="4D6AEFB6" w:rsidR="002D72DE" w:rsidRPr="000C38B5"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Başlamadan Önce</w:t>
            </w:r>
          </w:p>
          <w:p w14:paraId="034A6E11" w14:textId="77777777" w:rsidR="002D72DE"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Yaşam Döngüsü Boyunca</w:t>
            </w:r>
          </w:p>
          <w:p w14:paraId="5E909466" w14:textId="27BB495C" w:rsidR="002D72DE" w:rsidRPr="0021043D"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Kontrol listesi, kadın işçiler ve işçilerle etkileşimde bulunan diğer kadın ve kız çocuklarıyla yapılan istişareler doğrultusunda hazırlanacak ve güncellenecektir.</w:t>
            </w:r>
          </w:p>
          <w:p w14:paraId="3DA0CB4F" w14:textId="1D86139A" w:rsidR="002D72DE" w:rsidRPr="000C38B5"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İstişareler her üç ayda bir gerçekleştirilecektir.</w:t>
              <w:lastRenderedPageBreak/>
              <w:t xml:space="preserve"/>
            </w:r>
          </w:p>
        </w:tc>
        <w:tc>
          <w:tcPr>
            <w:tcW w:w="4140" w:type="dxa"/>
            <w:vAlign w:val="center"/>
          </w:tcPr>
          <w:p w14:paraId="02C1AA18" w14:textId="17B25C72"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 xml:space="preserve">Standartlaştırılmış kontrol listesinin PUB tarafından tamamlanma ve onaylanma durumu (E/H)</w:t>
            </w:r>
          </w:p>
          <w:p w14:paraId="2F695215" w14:textId="44D32CEE"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Fiziksel güvenlik ve saha risklerinin özel olarak ele alındığı istişare oturumu sayısı.</w:t>
            </w:r>
          </w:p>
          <w:p w14:paraId="413E6C94" w14:textId="4115949F"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Değerlendirilen tesis sayısı</w:t>
            </w:r>
          </w:p>
          <w:p w14:paraId="23C53008" w14:textId="76D85979"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Periyodik değerlendirmelerin sayısı/sıklığı</w:t>
            </w:r>
          </w:p>
          <w:p w14:paraId="2253CEAD" w14:textId="0A27736A" w:rsidR="002D72DE" w:rsidRPr="00737D00"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Risklerini azaltmak için belirlenen gerekli düzenlemeler </w:t>
            </w:r>
          </w:p>
          <w:p w14:paraId="34685C34" w14:textId="77777777"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Gerekli tüm güvenlik önlemlerinin aktif olarak doğrulandığı proje sahalarının yüzdesi.</w:t>
            </w:r>
          </w:p>
          <w:p w14:paraId="286F544D" w14:textId="2E13E08E"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Her sahada yüksek trafikli veya yüksek riskli alanlara yerleştirilen görünür bilgilendirme noktası (poster/tabela) sayısı.</w:t>
            </w:r>
          </w:p>
        </w:tc>
        <w:tc>
          <w:tcPr>
            <w:tcW w:w="2160" w:type="dxa"/>
            <w:vAlign w:val="center"/>
          </w:tcPr>
          <w:p w14:paraId="45C40014" w14:textId="77777777" w:rsidR="00721442" w:rsidRDefault="002D72DE" w:rsidP="00721442">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5201E08B" w14:textId="47F2B985" w:rsidR="002D72DE" w:rsidRPr="00721442" w:rsidDel="00AE10E5" w:rsidRDefault="00721442" w:rsidP="00721442">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tc>
        <w:tc>
          <w:tcPr>
            <w:tcW w:w="4590" w:type="dxa"/>
            <w:vAlign w:val="center"/>
          </w:tcPr>
          <w:p w14:paraId="45E048B8" w14:textId="1F1A9FC2" w:rsidR="002D72DE"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CSİ/CT Fiziksel Risk Değerlendirme Kontrol Listesi</w:t>
            </w:r>
          </w:p>
          <w:p w14:paraId="69DAA1AA" w14:textId="14CF8F67" w:rsidR="002D72DE"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Paydaş istişare raporları ve katılım listeleri</w:t>
            </w:r>
          </w:p>
          <w:p w14:paraId="02F04A28" w14:textId="7BA2F51B" w:rsidR="002D72DE" w:rsidRPr="00E375A8"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Saha Değerlendirme Raporu ve Düzeltici Eylem Planı (CAP)</w:t>
            </w:r>
          </w:p>
          <w:p w14:paraId="199C8028" w14:textId="2EB93BD5" w:rsidR="002D72DE" w:rsidRPr="00203BDC"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CSİ/CT riskleri açısından tesislerin değerlendirilmesi, saha izlemesi ve saha uyumluluğuna ilişkin bilgileri içeren Projenin ilerleme raporları</w:t>
            </w:r>
          </w:p>
          <w:p w14:paraId="2D1014C8" w14:textId="73FC014D" w:rsidR="002D72DE" w:rsidRPr="000C38B5"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Sahalarda sergilenen posterler, tabelalar ve bilgilendirme panoları</w:t>
            </w:r>
          </w:p>
        </w:tc>
      </w:tr>
      <w:tr w:rsidR="002D72DE" w:rsidRPr="000C38B5" w14:paraId="0AC60517" w14:textId="77777777" w:rsidTr="002D72DE">
        <w:trPr>
          <w:trHeight w:val="490"/>
        </w:trPr>
        <w:tc>
          <w:tcPr>
            <w:tcW w:w="23040" w:type="dxa"/>
            <w:gridSpan w:val="8"/>
            <w:shd w:val="clear" w:color="auto" w:fill="D5DCE4" w:themeFill="text2" w:themeFillTint="33"/>
            <w:vAlign w:val="center"/>
          </w:tcPr>
          <w:p w14:paraId="0A4704E3" w14:textId="34DBFBA2" w:rsidR="002D72DE" w:rsidRPr="000C38B5" w:rsidRDefault="002D72DE" w:rsidP="00D65564">
            <w:pP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lastRenderedPageBreak/>
              <w:t xml:space="preserve">Strateji 6: Kadınların CSİ/CT hizmetlerine erişiminin desteklenmesi ile CSİ/CT'nin önlenmesine yönelik kurumlar arası koordinasyon ve iş birliğinin sağlanması</w:t>
            </w:r>
          </w:p>
        </w:tc>
      </w:tr>
      <w:tr w:rsidR="002D72DE" w:rsidRPr="000C38B5" w14:paraId="4B81B585" w14:textId="77777777" w:rsidTr="002D72DE">
        <w:trPr>
          <w:trHeight w:val="1696"/>
        </w:trPr>
        <w:tc>
          <w:tcPr>
            <w:tcW w:w="2970" w:type="dxa"/>
            <w:shd w:val="clear" w:color="auto" w:fill="F2F2F2" w:themeFill="background1" w:themeFillShade="F2"/>
            <w:vAlign w:val="center"/>
          </w:tcPr>
          <w:p w14:paraId="49A24DAC" w14:textId="54AB10E6"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(10) Mültecilerin veya Türkçe konuşmayanların kırsal alanlardaki hizmetlere sınırlı erişimi</w:t>
            </w:r>
          </w:p>
          <w:p w14:paraId="701BE81B"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&amp;</w:t>
            </w:r>
          </w:p>
          <w:p w14:paraId="6B8A8B66" w14:textId="62948646" w:rsidR="002D72DE" w:rsidRPr="00547B8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(12) Proje illerinde CSİ/CT hizmet sağlayıcılarının bulunmaması ve/veya yetersiz olması</w:t>
            </w:r>
          </w:p>
        </w:tc>
        <w:tc>
          <w:tcPr>
            <w:tcW w:w="1800" w:type="dxa"/>
            <w:vAlign w:val="center"/>
          </w:tcPr>
          <w:p w14:paraId="135D2BF4" w14:textId="746AB126" w:rsidR="002D72DE" w:rsidRPr="00FB58F9" w:rsidRDefault="002D72DE" w:rsidP="00D65564">
            <w:pPr>
              <w:rPr>
                <w:rFonts w:ascii="Times New Roman" w:hAnsi="Times New Roman" w:cs="Times New Roman"/>
                <w:sz w:val="20"/>
                <w:szCs w:val="20"/>
              </w:rPr>
            </w:pPr>
            <w:r>
              <w:rPr>
                <w:rFonts w:ascii="Times New Roman" w:hAnsi="Times New Roman" w:cs="Times New Roman"/>
                <w:sz w:val="20"/>
                <w:szCs w:val="20"/>
              </w:rPr>
              <w:t xml:space="preserve">Tüm proje uygulama alanlarındaki TCŞ/CSİ/CT hizmet sağlayıcıları haritalandırılacak ve tüm paydaşların hizmet sağlayıcılardan yararlanabilmesini sağlamak amacıyla PUB tarafından gerekli düzenlemeler yapılacaktır.</w:t>
            </w:r>
          </w:p>
        </w:tc>
        <w:tc>
          <w:tcPr>
            <w:tcW w:w="4140" w:type="dxa"/>
            <w:vAlign w:val="center"/>
          </w:tcPr>
          <w:p w14:paraId="6B6810B2" w14:textId="56EA9736" w:rsidR="002D72DE" w:rsidRPr="000C38B5"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illerinde mevcut haritalama çalışmalarının incelenmesi</w:t>
            </w:r>
          </w:p>
          <w:p w14:paraId="59E909CB" w14:textId="40F50A94" w:rsidR="002D72DE" w:rsidRPr="000C38B5"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HVMÇ'sine entegre edilecek yerelleştirilmiş yönlendirme protokollerinin geliştirilmesi</w:t>
            </w:r>
          </w:p>
          <w:p w14:paraId="5E5167BF" w14:textId="3AB362A2"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Pr>
                <w:rFonts w:ascii="Times New Roman" w:hAnsi="Times New Roman" w:cs="Times New Roman"/>
                <w:color w:val="000000" w:themeColor="text1"/>
                <w:sz w:val="20"/>
                <w:szCs w:val="20"/>
                <w:lang w:val="en-US"/>
              </w:rPr>
              <w:t xml:space="preserve">Bilgilendirme, hukuki ve psikolojik danışmanlık/destek gibi önemli hizmetler sunan, proje illerinde CSİ/CT konusunda uzmanlaşmış STK'larla iş birliğinin geliştirilmesi.</w:t>
            </w:r>
          </w:p>
          <w:p w14:paraId="7146E6F8" w14:textId="77777777"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Pr>
                <w:rFonts w:ascii="Times New Roman" w:eastAsiaTheme="minorEastAsia" w:hAnsi="Times New Roman" w:cs="Times New Roman"/>
                <w:bCs/>
                <w:color w:val="000000" w:themeColor="text1"/>
                <w:sz w:val="20"/>
                <w:szCs w:val="20"/>
                <w:lang w:val="en-US"/>
              </w:rPr>
              <w:t xml:space="preserve">Haritalama ve yönlendirme protokolleri doğrultusunda TCŞ hizmetlerine yönlendirme sunulması</w:t>
            </w:r>
          </w:p>
          <w:p w14:paraId="3DCF081D" w14:textId="77777777"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Pr>
                <w:rFonts w:ascii="Times New Roman" w:hAnsi="Times New Roman" w:cs="Times New Roman"/>
                <w:color w:val="000000" w:themeColor="text1"/>
                <w:sz w:val="20"/>
                <w:szCs w:val="20"/>
                <w:lang w:val="en-US"/>
              </w:rPr>
              <w:t xml:space="preserve">Mültecilere hizmet sunan sorumlu kuruluşlara yönlendirme yapılması ve mağdurların/hayatta kalanların bu mevcut hizmet sağlayıcılar ve müdahale mekanizmaları hakkında bilgilendirilmesi</w:t>
            </w:r>
          </w:p>
          <w:p w14:paraId="786BE297" w14:textId="6A116A8C"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Pr>
                <w:rFonts w:ascii="Times New Roman" w:hAnsi="Times New Roman" w:cs="Times New Roman"/>
                <w:color w:val="000000" w:themeColor="text1"/>
                <w:sz w:val="20"/>
                <w:szCs w:val="20"/>
                <w:lang w:val="en-US"/>
              </w:rPr>
              <w:t xml:space="preserve">CSİ/CT ile ilgili tüm hizmet ve materyallerin çok dilli olmasının sağlanması </w:t>
            </w:r>
            <w:r>
              <w:rPr>
                <w:rFonts w:ascii="Times New Roman" w:eastAsiaTheme="minorEastAsia" w:hAnsi="Times New Roman" w:cs="Times New Roman"/>
                <w:color w:val="000000" w:themeColor="text1"/>
                <w:sz w:val="20"/>
                <w:szCs w:val="20"/>
                <w:lang w:val="en-US"/>
              </w:rPr>
              <w:t xml:space="preserve">(örn. Türkçe, Arapça, İngilizce)</w:t>
            </w:r>
          </w:p>
        </w:tc>
        <w:tc>
          <w:tcPr>
            <w:tcW w:w="1530" w:type="dxa"/>
            <w:vAlign w:val="center"/>
          </w:tcPr>
          <w:p w14:paraId="64054B8C" w14:textId="62C3ADEF" w:rsidR="002D72DE" w:rsidRPr="00FB58F9" w:rsidRDefault="004B1CE4"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w:t>
            </w:r>
            <w:r>
              <w:rPr>
                <w:rFonts w:ascii="Times New Roman" w:hAnsi="Times New Roman" w:cs="Times New Roman"/>
                <w:sz w:val="20"/>
                <w:szCs w:val="20"/>
              </w:rPr>
              <w:t xml:space="preserve"> Toplumsal Cinsiyet Uzmanı</w:t>
            </w:r>
          </w:p>
          <w:p w14:paraId="77BD88E9"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p w14:paraId="5DE0A879" w14:textId="2033892A" w:rsidR="002D72DE" w:rsidRPr="004B1CE4" w:rsidRDefault="002D72DE" w:rsidP="004B1CE4">
            <w:pPr>
              <w:ind w:left="-1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Danışman(lar)</w:t>
            </w:r>
          </w:p>
        </w:tc>
        <w:tc>
          <w:tcPr>
            <w:tcW w:w="1710" w:type="dxa"/>
            <w:vAlign w:val="center"/>
          </w:tcPr>
          <w:p w14:paraId="05064062" w14:textId="77777777" w:rsidR="002D72DE" w:rsidRPr="00C90542"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Başlamadan önce</w:t>
            </w:r>
          </w:p>
          <w:p w14:paraId="4435A8C7" w14:textId="77777777" w:rsidR="002D72DE" w:rsidRPr="00C90542"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Yaşam Döngüsü Boyunca</w:t>
            </w:r>
          </w:p>
          <w:p w14:paraId="0EAC2046" w14:textId="0C544934" w:rsidR="002D72DE" w:rsidRPr="00C90542"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Haritalama ve yönlendirme protokollerinin altı ayda bir güncellenmesi</w:t>
            </w:r>
          </w:p>
        </w:tc>
        <w:tc>
          <w:tcPr>
            <w:tcW w:w="4140" w:type="dxa"/>
            <w:vAlign w:val="center"/>
          </w:tcPr>
          <w:p w14:paraId="1AA208F0" w14:textId="77777777" w:rsidR="002D72DE" w:rsidRPr="00FB58F9"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rPr>
              <w:t xml:space="preserve">Tüm hedef illerdeki mevcut haritalama çalışmasının gözden geçirilmesinin tamamlanma durumu (E/H)</w:t>
            </w:r>
          </w:p>
          <w:p w14:paraId="487CBDF6" w14:textId="77777777" w:rsidR="002D72DE" w:rsidRPr="00FB58F9"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rPr>
              <w:t xml:space="preserve">Yerelleştirilmiş yönlendirme protokolü sayısı</w:t>
            </w:r>
          </w:p>
          <w:p w14:paraId="087AE99A" w14:textId="77777777" w:rsidR="002D72DE"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İl başına uzman STK sayısı</w:t>
            </w:r>
          </w:p>
          <w:p w14:paraId="461E691E" w14:textId="77777777" w:rsidR="002D72DE"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Mağdura/hayatta kalana uzman hizmetlere resmi bir yönlendirme yapılan bildirilmiş vaka yüzdesi</w:t>
            </w:r>
          </w:p>
          <w:p w14:paraId="2F9F7725" w14:textId="61F2F442" w:rsidR="002D72DE"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Her proje ilinde mülteci odaklı hizmet bilgisi ve yönlendirme adımlarının mevcudiyeti (E/H)</w:t>
            </w:r>
          </w:p>
          <w:p w14:paraId="7C5EC9A2" w14:textId="3863C7C7" w:rsidR="002D72DE" w:rsidRPr="00FB58F9"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Gerekli dillerde mevcut olan temel CSİ/CT materyali sayısı</w:t>
            </w:r>
          </w:p>
        </w:tc>
        <w:tc>
          <w:tcPr>
            <w:tcW w:w="2160" w:type="dxa"/>
            <w:vAlign w:val="center"/>
          </w:tcPr>
          <w:p w14:paraId="373DD9E9" w14:textId="77777777" w:rsidR="002D72DE" w:rsidRPr="00FB58F9"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hAnsi="Times New Roman" w:cs="Times New Roman"/>
                <w:sz w:val="20"/>
                <w:szCs w:val="20"/>
              </w:rPr>
              <w:t xml:space="preserve">AYGM PUB Sosyal Uzmanı</w:t>
            </w:r>
          </w:p>
          <w:p w14:paraId="5B6A527F" w14:textId="7CDF8EA8" w:rsidR="002D72DE" w:rsidRPr="000C38B5" w:rsidRDefault="00581558"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hAnsi="Times New Roman" w:cs="Times New Roman"/>
                <w:sz w:val="20"/>
                <w:szCs w:val="20"/>
              </w:rPr>
              <w:t xml:space="preserve">PMC Toplumsal Cinsiyet Uzmanı</w:t>
            </w:r>
          </w:p>
        </w:tc>
        <w:tc>
          <w:tcPr>
            <w:tcW w:w="4590" w:type="dxa"/>
            <w:vAlign w:val="center"/>
          </w:tcPr>
          <w:p w14:paraId="4B7EFB82" w14:textId="0DE5D538" w:rsidR="002D72DE" w:rsidRPr="00FB58F9"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Proje alanlarındaki hizmet sağlayıcılar haritası</w:t>
            </w:r>
          </w:p>
          <w:p w14:paraId="46547CA2" w14:textId="77777777" w:rsidR="002D72DE" w:rsidRPr="00FB58F9"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hAnsi="Times New Roman" w:cs="Times New Roman"/>
                <w:sz w:val="20"/>
                <w:szCs w:val="20"/>
              </w:rPr>
              <w:t xml:space="preserve">Tüm proje uygulama alanları için mevcut yerelleştirilmiş yönlendirme protokolleri (bölgeye göre ayrıştırılmış)</w:t>
            </w:r>
          </w:p>
          <w:p w14:paraId="70766639"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STK'larla İş Birliği Anlaşmaları veya Toplantı Tutanakları</w:t>
            </w:r>
          </w:p>
          <w:p w14:paraId="664A2A69"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Anonimleştirilmiş yönlendirme kayıtları ve hizmet sunumu kayıtları</w:t>
            </w:r>
          </w:p>
          <w:p w14:paraId="292F7DB6"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Mülteciye özgü yönlendirme kılavuzları ve bilgilendirme materyalleri</w:t>
            </w:r>
          </w:p>
          <w:p w14:paraId="18EBBBB7" w14:textId="58B4905B"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Çevirisi yapılmış broşürler, protokoller ve bilgilendirme tabelaları</w:t>
            </w:r>
          </w:p>
        </w:tc>
      </w:tr>
      <w:tr w:rsidR="002D72DE" w:rsidRPr="000C38B5" w14:paraId="057DBB17" w14:textId="77777777" w:rsidTr="002D72DE">
        <w:trPr>
          <w:trHeight w:val="445"/>
        </w:trPr>
        <w:tc>
          <w:tcPr>
            <w:tcW w:w="23040" w:type="dxa"/>
            <w:gridSpan w:val="8"/>
            <w:shd w:val="clear" w:color="auto" w:fill="D5DCE4" w:themeFill="text2" w:themeFillTint="33"/>
            <w:vAlign w:val="center"/>
          </w:tcPr>
          <w:p w14:paraId="729B9554" w14:textId="69234F76" w:rsidR="002D72DE" w:rsidRPr="000C38B5" w:rsidRDefault="002D72DE" w:rsidP="00D65564">
            <w:pPr>
              <w:rPr>
                <w:rFonts w:ascii="Times New Roman" w:eastAsiaTheme="minorEastAsia" w:hAnsi="Times New Roman" w:cs="Times New Roman"/>
                <w:b/>
                <w:bCs/>
                <w:color w:val="000000" w:themeColor="text1"/>
                <w:sz w:val="20"/>
                <w:szCs w:val="20"/>
              </w:rPr>
            </w:pPr>
            <w:r>
              <w:rPr>
                <w:rFonts w:ascii="Times New Roman" w:eastAsiaTheme="minorEastAsia" w:hAnsi="Times New Roman" w:cs="Times New Roman"/>
                <w:b/>
                <w:bCs/>
                <w:color w:val="000000" w:themeColor="text1"/>
                <w:sz w:val="20"/>
                <w:szCs w:val="20"/>
                <w:lang w:val="en-US"/>
              </w:rPr>
              <w:t xml:space="preserve">Strateji 7: CSİ/CT'nin İzlenmesi ve Değerlendirilmesi</w:t>
            </w:r>
          </w:p>
        </w:tc>
      </w:tr>
      <w:tr w:rsidR="002D72DE" w:rsidRPr="000C38B5" w14:paraId="15889BF5" w14:textId="77777777" w:rsidTr="002D72DE">
        <w:trPr>
          <w:trHeight w:val="978"/>
        </w:trPr>
        <w:tc>
          <w:tcPr>
            <w:tcW w:w="2970" w:type="dxa"/>
            <w:vMerge w:val="restart"/>
            <w:shd w:val="clear" w:color="auto" w:fill="F2F2F2" w:themeFill="background1" w:themeFillShade="F2"/>
            <w:vAlign w:val="center"/>
          </w:tcPr>
          <w:p w14:paraId="00AFFF25" w14:textId="51C8E5FA"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(19) CSİ/CT'nin proje izleme süreçlerine dahil edilmemesi</w:t>
            </w:r>
          </w:p>
        </w:tc>
        <w:tc>
          <w:tcPr>
            <w:tcW w:w="1800" w:type="dxa"/>
            <w:vAlign w:val="center"/>
          </w:tcPr>
          <w:p w14:paraId="40546050" w14:textId="439DF5DF" w:rsidR="002D72DE" w:rsidRPr="000C38B5" w:rsidRDefault="002D72DE" w:rsidP="00D65564">
            <w:pPr>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Proje döngüsü boyunca CSİ/CT önleme ve müdahale faaliyetlerinin izlenmesi ve değerlendirilmesi</w:t>
            </w:r>
          </w:p>
        </w:tc>
        <w:tc>
          <w:tcPr>
            <w:tcW w:w="4140" w:type="dxa"/>
            <w:vAlign w:val="center"/>
          </w:tcPr>
          <w:p w14:paraId="04B2F881" w14:textId="3F55591D"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Proje kapsamındaki tüm verilerin cinsiyete göre ayrıştırılmış şekilde toplanması.</w:t>
            </w:r>
          </w:p>
        </w:tc>
        <w:tc>
          <w:tcPr>
            <w:tcW w:w="1530" w:type="dxa"/>
            <w:vAlign w:val="center"/>
          </w:tcPr>
          <w:p w14:paraId="78CA91A9" w14:textId="6982D30F" w:rsidR="002D72DE" w:rsidRPr="000C38B5" w:rsidRDefault="00581558"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p w14:paraId="637A0035" w14:textId="2350CD97"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Danışman(lar)</w:t>
            </w:r>
          </w:p>
          <w:p w14:paraId="77AC0AED" w14:textId="0DC2741D"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tc>
        <w:tc>
          <w:tcPr>
            <w:tcW w:w="1710" w:type="dxa"/>
            <w:vAlign w:val="center"/>
          </w:tcPr>
          <w:p w14:paraId="7FFFAF08" w14:textId="49FA780C" w:rsidR="002D72DE" w:rsidRPr="000C38B5" w:rsidRDefault="002D72DE" w:rsidP="00D65564">
            <w:pPr>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Sürekli, altı ayda bir periyodik gözden geçirmelerle</w:t>
            </w:r>
          </w:p>
        </w:tc>
        <w:tc>
          <w:tcPr>
            <w:tcW w:w="4140" w:type="dxa"/>
            <w:vAlign w:val="center"/>
          </w:tcPr>
          <w:p w14:paraId="55065D47" w14:textId="25BB22B7"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Veri toplamanın tamamlanma durumu (E/H)</w:t>
            </w:r>
          </w:p>
          <w:p w14:paraId="3F6DAA7E" w14:textId="434A07C9"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Veri toplamanın programı ve sıklığı</w:t>
            </w:r>
          </w:p>
          <w:p w14:paraId="54B6D8D1" w14:textId="2E080086"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Yapılan saha ziyareti sayısı</w:t>
            </w:r>
          </w:p>
          <w:p w14:paraId="5E1B44CC" w14:textId="39027A36"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Ham CSİ/CT faaliyet kayıtlarını zamanında Toplumsal Cinsiyet Uzmanına sunan proje sahası/biriminin sayısı.</w:t>
            </w:r>
          </w:p>
        </w:tc>
        <w:tc>
          <w:tcPr>
            <w:tcW w:w="2160" w:type="dxa"/>
            <w:vAlign w:val="center"/>
          </w:tcPr>
          <w:p w14:paraId="1021A68A"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AYGM PUB Sosyal Uzmanı</w:t>
            </w:r>
          </w:p>
          <w:p w14:paraId="572B40B1" w14:textId="7AD2F1B0" w:rsidR="002D72DE" w:rsidRPr="000C38B5" w:rsidRDefault="00581558"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Toplumsal Cinsiyet Uzmanı</w:t>
            </w:r>
          </w:p>
        </w:tc>
        <w:tc>
          <w:tcPr>
            <w:tcW w:w="4590" w:type="dxa"/>
            <w:vAlign w:val="center"/>
          </w:tcPr>
          <w:p w14:paraId="315DA66F" w14:textId="145C2901"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Düzenli Ç&amp;S İzleme raporları CSİ/CT göstergelerini içerir </w:t>
            </w:r>
          </w:p>
        </w:tc>
      </w:tr>
      <w:tr w:rsidR="002D72DE" w:rsidRPr="000C38B5" w14:paraId="24D4C82F" w14:textId="77777777" w:rsidTr="002D72DE">
        <w:trPr>
          <w:trHeight w:val="526"/>
        </w:trPr>
        <w:tc>
          <w:tcPr>
            <w:tcW w:w="2970" w:type="dxa"/>
            <w:vMerge/>
            <w:vAlign w:val="center"/>
          </w:tcPr>
          <w:p w14:paraId="48D3DAA3" w14:textId="77777777" w:rsidR="002D72DE" w:rsidRPr="000C38B5" w:rsidRDefault="002D72DE">
            <w:pPr>
              <w:rPr>
                <w:rFonts w:ascii="Times New Roman" w:eastAsiaTheme="minorEastAsia" w:hAnsi="Times New Roman" w:cs="Times New Roman"/>
                <w:b/>
                <w:bCs/>
                <w:color w:val="000000" w:themeColor="text1"/>
                <w:sz w:val="20"/>
                <w:szCs w:val="20"/>
                <w:lang w:val="en-US"/>
              </w:rPr>
            </w:pPr>
          </w:p>
        </w:tc>
        <w:tc>
          <w:tcPr>
            <w:tcW w:w="1800" w:type="dxa"/>
            <w:vAlign w:val="center"/>
          </w:tcPr>
          <w:p w14:paraId="44DAE8DC" w14:textId="67F65B10" w:rsidR="002D72DE" w:rsidRPr="000C38B5" w:rsidRDefault="002D72DE" w:rsidP="00D65564">
            <w:pPr>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CSİ/CT hususlarının proje izleme çerçevesine ve düzenli raporlama yükümlülüklerine entegre edilmesi.</w:t>
            </w:r>
          </w:p>
        </w:tc>
        <w:tc>
          <w:tcPr>
            <w:tcW w:w="4140" w:type="dxa"/>
            <w:vAlign w:val="center"/>
          </w:tcPr>
          <w:p w14:paraId="639AA164" w14:textId="0BDC37A1" w:rsidR="002D72DE" w:rsidRPr="0074789A"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Proje izleme göstergelerinin gözden geçirilmesi ve CSİ/CT konularını kapsayacak şekilde güncellenmesi.</w:t>
            </w:r>
          </w:p>
        </w:tc>
        <w:tc>
          <w:tcPr>
            <w:tcW w:w="1530" w:type="dxa"/>
            <w:vAlign w:val="center"/>
          </w:tcPr>
          <w:p w14:paraId="7ACAA30C" w14:textId="4C06A237" w:rsidR="002D72DE" w:rsidRPr="000C38B5" w:rsidRDefault="008D393D"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PIOC Toplumsal Cinsiyet ve Kapsayıcılık Uzmanı</w:t>
            </w:r>
          </w:p>
          <w:p w14:paraId="50D95299" w14:textId="43C17D73"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Yüklenici(ler)</w:t>
            </w:r>
          </w:p>
        </w:tc>
        <w:tc>
          <w:tcPr>
            <w:tcW w:w="1710" w:type="dxa"/>
            <w:vAlign w:val="center"/>
          </w:tcPr>
          <w:p w14:paraId="1D241F88" w14:textId="240437B1" w:rsidR="002D72DE" w:rsidRPr="000C38B5" w:rsidRDefault="002D72DE" w:rsidP="00D65564">
            <w:pPr>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Proje Yaşam Döngüsü Boyunca </w:t>
            </w:r>
          </w:p>
        </w:tc>
        <w:tc>
          <w:tcPr>
            <w:tcW w:w="4140" w:type="dxa"/>
            <w:vAlign w:val="center"/>
          </w:tcPr>
          <w:p w14:paraId="574DE505" w14:textId="3A8EA603"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İzleme sistemine eklenen CSİ/CT gösterge sayısı</w:t>
            </w:r>
          </w:p>
          <w:p w14:paraId="3DD7D4EA" w14:textId="0D839ADB"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Verisi toplanan CSİ/CT gösterge sayısı</w:t>
            </w:r>
          </w:p>
          <w:p w14:paraId="10DC9790" w14:textId="67720830"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CSİ/CT hususlarını başarıyla dahil eden</w:t>
            </w:r>
            <w:r>
              <w:rPr>
                <w:rFonts w:ascii="Times New Roman" w:eastAsiaTheme="minorEastAsia" w:hAnsi="Times New Roman" w:cs="Times New Roman"/>
                <w:color w:val="000000" w:themeColor="text1"/>
                <w:sz w:val="20"/>
                <w:szCs w:val="20"/>
              </w:rPr>
              <w:t xml:space="preserve"> periyodik izleme raporlarının sayısı.</w:t>
            </w:r>
            <w:r>
              <w:rPr>
                <w:rFonts w:ascii="Times New Roman" w:eastAsiaTheme="minorEastAsia" w:hAnsi="Times New Roman" w:cs="Times New Roman"/>
                <w:color w:val="000000" w:themeColor="text1"/>
                <w:sz w:val="20"/>
                <w:szCs w:val="20"/>
                <w:lang w:val="en-US"/>
              </w:rPr>
              <w:t xml:space="preserve"> </w:t>
            </w:r>
          </w:p>
        </w:tc>
        <w:tc>
          <w:tcPr>
            <w:tcW w:w="2160" w:type="dxa"/>
            <w:vAlign w:val="center"/>
          </w:tcPr>
          <w:p w14:paraId="0992B0C7" w14:textId="77777777"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AYGM PUB Sosyal Uzmanı</w:t>
            </w:r>
          </w:p>
          <w:p w14:paraId="79AF3405" w14:textId="4C3E7695" w:rsidR="002D72DE" w:rsidRPr="000C38B5" w:rsidRDefault="0055657F"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PMC Toplumsal Cinsiyet Uzmanı</w:t>
            </w:r>
          </w:p>
        </w:tc>
        <w:tc>
          <w:tcPr>
            <w:tcW w:w="4590" w:type="dxa"/>
            <w:vAlign w:val="center"/>
          </w:tcPr>
          <w:p w14:paraId="516B934F" w14:textId="41A6E20C"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 xml:space="preserve">Projenin CSİ/CT hususlarını içeren ilerleme raporları</w:t>
            </w:r>
          </w:p>
        </w:tc>
      </w:tr>
    </w:tbl>
    <w:p w14:paraId="5D9359C3" w14:textId="77777777" w:rsidR="009F3559" w:rsidRDefault="009F3559" w:rsidP="00986927">
      <w:pPr>
        <w:rPr>
          <w:rFonts w:ascii="Times New Roman" w:hAnsi="Times New Roman" w:cs="Times New Roman"/>
          <w:sz w:val="18"/>
          <w:szCs w:val="18"/>
        </w:rPr>
      </w:pPr>
      <w:bookmarkStart w:id="9" w:name="_heading=h.1t3h5sf" w:colFirst="0" w:colLast="0"/>
      <w:bookmarkStart w:id="10" w:name="_heading=h.4d34og8" w:colFirst="0" w:colLast="0"/>
      <w:bookmarkStart w:id="11" w:name="_heading=h.2s8eyo1" w:colFirst="0" w:colLast="0"/>
      <w:bookmarkStart w:id="12" w:name="_heading=h.17dp8vu" w:colFirst="0" w:colLast="0"/>
      <w:bookmarkStart w:id="13" w:name="_heading=h.3rdcrjn" w:colFirst="0" w:colLast="0"/>
      <w:bookmarkStart w:id="14" w:name="_heading=h.26in1rg" w:colFirst="0" w:colLast="0"/>
      <w:bookmarkStart w:id="15" w:name="_heading=h.lnxbz9" w:colFirst="0" w:colLast="0"/>
      <w:bookmarkStart w:id="16" w:name="_heading=h.35nkun2" w:colFirst="0" w:colLast="0"/>
      <w:bookmarkStart w:id="17" w:name="_heading=h.1ksv4uv" w:colFirst="0" w:colLast="0"/>
      <w:bookmarkStart w:id="18" w:name="_heading=h.44sinio" w:colFirst="0" w:colLast="0"/>
      <w:bookmarkStart w:id="19" w:name="_heading=h.2jxsxqh" w:colFirst="0" w:colLast="0"/>
      <w:bookmarkStart w:id="20" w:name="_heading=h.z337ya" w:colFirst="0" w:colLast="0"/>
      <w:bookmarkStart w:id="21" w:name="_heading=h.3j2qqm3" w:colFirst="0" w:colLast="0"/>
      <w:bookmarkEnd w:id="5"/>
      <w:bookmarkEnd w:id="9"/>
      <w:bookmarkEnd w:id="10"/>
      <w:bookmarkEnd w:id="11"/>
      <w:bookmarkEnd w:id="12"/>
      <w:bookmarkEnd w:id="13"/>
      <w:bookmarkEnd w:id="14"/>
      <w:bookmarkEnd w:id="15"/>
      <w:bookmarkEnd w:id="16"/>
      <w:bookmarkEnd w:id="17"/>
      <w:bookmarkEnd w:id="18"/>
      <w:bookmarkEnd w:id="19"/>
      <w:bookmarkEnd w:id="20"/>
      <w:bookmarkEnd w:id="21"/>
    </w:p>
    <w:p w14:paraId="51BF92AE" w14:textId="77777777" w:rsidR="009F3559" w:rsidRPr="00FA7A40" w:rsidRDefault="009F3559" w:rsidP="00986927">
      <w:pPr>
        <w:rPr>
          <w:rFonts w:ascii="Times New Roman" w:hAnsi="Times New Roman" w:cs="Times New Roman"/>
          <w:sz w:val="18"/>
          <w:szCs w:val="18"/>
        </w:rPr>
      </w:pPr>
    </w:p>
    <w:sectPr w:rsidR="009F3559" w:rsidRPr="00FA7A40" w:rsidSect="000C38B5">
      <w:headerReference w:type="default" r:id="rId13"/>
      <w:footerReference w:type="even" r:id="rId14"/>
      <w:footerReference w:type="default" r:id="rId15"/>
      <w:headerReference w:type="first" r:id="rId16"/>
      <w:footerReference w:type="first" r:id="rId17"/>
      <w:pgSz w:w="23811" w:h="16838" w:orient="landscape" w:code="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Hazal Babur" w:date="2026-04-09T17:37:00Z" w:initials="HB">
    <w:p w14:paraId="0B11F6CF" w14:textId="6EE8A7BD" w:rsidR="0055657F" w:rsidRPr="00AF750D" w:rsidRDefault="0055657F" w:rsidP="00AF750D">
      <w:pPr>
        <w:rPr>
          <w:rFonts w:ascii="Times New Roman" w:eastAsia="Times New Roman" w:hAnsi="Times New Roman" w:cs="Times New Roman"/>
          <w:lang w:eastAsia="tr-TR"/>
        </w:rPr>
      </w:pPr>
      <w:r>
        <w:rPr>
          <w:rStyle w:val="AklamaBavurusu"/>
        </w:rPr>
        <w:annotationRef/>
      </w:r>
      <w:proofErr w:type="spellStart"/>
      <w:r>
        <w:t xml:space="preserve">İşçi sayısı LMP s.1'den alınmıştır.  Doğrudan işçiler (PUB): İnşaat sırasında yaklaşık 20–30, işletme sırasında ise 15–20 kişi.</w:t>
      </w:r>
      <w:proofErr w:type="spellEnd"/>
      <w:r>
        <w:t xml:space="preserve"/>
      </w:r>
      <w:proofErr w:type="spellStart"/>
      <w:r>
        <w:t xml:space="preserve"/>
      </w:r>
      <w:proofErr w:type="spellEnd"/>
      <w:r>
        <w:t xml:space="preserve"/>
      </w:r>
      <w:proofErr w:type="spellStart"/>
      <w:r>
        <w:t xml:space="preserve"/>
      </w:r>
      <w:proofErr w:type="spellEnd"/>
      <w:r>
        <w:t xml:space="preserve"/>
      </w:r>
      <w:proofErr w:type="spellStart"/>
      <w:r>
        <w:t xml:space="preserve"/>
      </w:r>
      <w:proofErr w:type="spellEnd"/>
      <w:r>
        <w:t xml:space="preserve"/>
      </w:r>
      <w:r w:rsidRPr="00AF750D">
        <w:rPr>
          <w:rFonts w:ascii="Times New Roman" w:eastAsia="Times New Roman" w:hAnsi="Symbol" w:cs="Times New Roman"/>
          <w:lang w:eastAsia="tr-TR"/>
        </w:rPr>
        <w:t xml:space="preserve"/>
      </w:r>
      <w:r w:rsidRPr="00AF750D">
        <w:rPr>
          <w:rFonts w:ascii="Times New Roman" w:eastAsia="Times New Roman" w:hAnsi="Times New Roman" w:cs="Times New Roman"/>
          <w:lang w:eastAsia="tr-TR"/>
        </w:rPr>
        <w:t xml:space="preserve"/>
      </w:r>
      <w:r w:rsidRPr="00AF750D">
        <w:rPr>
          <w:rFonts w:ascii="Times New Roman" w:eastAsia="Times New Roman" w:hAnsi="Times New Roman" w:cs="Times New Roman"/>
          <w:b/>
          <w:bCs/>
          <w:lang w:eastAsia="tr-TR"/>
        </w:rPr>
        <w:t xml:space="preserve"/>
      </w:r>
      <w:proofErr w:type="spellStart"/>
      <w:r w:rsidRPr="00AF750D">
        <w:rPr>
          <w:rFonts w:ascii="Times New Roman" w:eastAsia="Times New Roman" w:hAnsi="Times New Roman" w:cs="Times New Roman"/>
          <w:b/>
          <w:bCs/>
          <w:lang w:eastAsia="tr-TR"/>
        </w:rPr>
        <w:t xml:space="preserve"/>
      </w:r>
      <w:proofErr w:type="spellEnd"/>
      <w:r w:rsidRPr="00AF750D">
        <w:rPr>
          <w:rFonts w:ascii="Times New Roman" w:eastAsia="Times New Roman" w:hAnsi="Times New Roman" w:cs="Times New Roman"/>
          <w:b/>
          <w:bCs/>
          <w:lang w:eastAsia="tr-TR"/>
        </w:rPr>
        <w:t xml:space="preserve"/>
      </w:r>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r w:rsidRPr="00AF750D">
        <w:rPr>
          <w:rFonts w:ascii="Times New Roman" w:eastAsia="Times New Roman" w:hAnsi="Times New Roman" w:cs="Times New Roman"/>
          <w:b/>
          <w:bCs/>
          <w:lang w:eastAsia="tr-TR"/>
        </w:rPr>
        <w:t xml:space="preserve"/>
      </w:r>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proofErr w:type="spellStart"/>
      <w:proofErr w:type="gramStart"/>
      <w:r w:rsidRPr="00AF750D">
        <w:rPr>
          <w:rFonts w:ascii="Times New Roman" w:eastAsia="Times New Roman" w:hAnsi="Times New Roman" w:cs="Times New Roman"/>
          <w:lang w:eastAsia="tr-TR"/>
        </w:rPr>
        <w:t xml:space="preserve"/>
      </w:r>
      <w:proofErr w:type="spellEnd"/>
      <w:r>
        <w:rPr>
          <w:rFonts w:ascii="Times New Roman" w:eastAsia="Times New Roman" w:hAnsi="Times New Roman" w:cs="Times New Roman"/>
          <w:lang w:eastAsia="tr-TR"/>
        </w:rPr>
        <w:t xml:space="preserve"/>
      </w:r>
      <w:r w:rsidRPr="00AF750D">
        <w:rPr>
          <w:rFonts w:ascii="Times New Roman" w:eastAsia="Times New Roman" w:hAnsi="Times New Roman" w:cs="Times New Roman"/>
          <w:lang w:eastAsia="tr-TR"/>
        </w:rPr>
        <w:t xml:space="preserve"/>
      </w:r>
      <w:r w:rsidRPr="00AF750D">
        <w:rPr>
          <w:rFonts w:ascii="Times New Roman" w:eastAsia="Times New Roman" w:hAnsi="Times New Roman" w:cs="Times New Roman"/>
          <w:b/>
          <w:bCs/>
          <w:highlight w:val="yellow"/>
          <w:lang w:eastAsia="tr-TR"/>
        </w:rPr>
        <w:t xml:space="preserve"/>
      </w:r>
      <w:proofErr w:type="gramEnd"/>
      <w:r w:rsidRPr="00AF750D">
        <w:rPr>
          <w:rFonts w:ascii="Times New Roman" w:eastAsia="Times New Roman" w:hAnsi="Times New Roman" w:cs="Times New Roman"/>
          <w:b/>
          <w:bCs/>
          <w:highlight w:val="yellow"/>
          <w:lang w:eastAsia="tr-TR"/>
        </w:rPr>
        <w:t xml:space="preserve"/>
      </w:r>
      <w:r w:rsidRPr="00AF750D">
        <w:rPr>
          <w:rFonts w:ascii="Times New Roman" w:eastAsia="Times New Roman" w:hAnsi="Times New Roman" w:cs="Times New Roman"/>
          <w:highlight w:val="yellow"/>
          <w:lang w:eastAsia="tr-TR"/>
        </w:rPr>
        <w:t xml:space="preserve"/>
      </w:r>
      <w:proofErr w:type="spellStart"/>
      <w:r w:rsidRPr="00AF750D">
        <w:rPr>
          <w:rFonts w:ascii="Times New Roman" w:eastAsia="Times New Roman" w:hAnsi="Times New Roman" w:cs="Times New Roman"/>
          <w:highlight w:val="yellow"/>
          <w:lang w:eastAsia="tr-TR"/>
        </w:rPr>
        <w:t xml:space="preserve"/>
      </w:r>
      <w:proofErr w:type="spellEnd"/>
      <w:r w:rsidRPr="00AF750D">
        <w:rPr>
          <w:rFonts w:ascii="Times New Roman" w:eastAsia="Times New Roman" w:hAnsi="Times New Roman" w:cs="Times New Roman"/>
          <w:highlight w:val="yellow"/>
          <w:lang w:eastAsia="tr-TR"/>
        </w:rPr>
        <w:t xml:space="preserve"/>
      </w:r>
      <w:proofErr w:type="spellStart"/>
      <w:r w:rsidRPr="00AF750D">
        <w:rPr>
          <w:rFonts w:ascii="Times New Roman" w:eastAsia="Times New Roman" w:hAnsi="Times New Roman" w:cs="Times New Roman"/>
          <w:highlight w:val="yellow"/>
          <w:lang w:eastAsia="tr-TR"/>
        </w:rPr>
        <w:t xml:space="preserve"/>
      </w:r>
      <w:proofErr w:type="spellEnd"/>
      <w:r w:rsidRPr="00AF750D">
        <w:rPr>
          <w:rFonts w:ascii="Times New Roman" w:eastAsia="Times New Roman" w:hAnsi="Times New Roman" w:cs="Times New Roman"/>
          <w:lang w:eastAsia="tr-TR"/>
        </w:rPr>
        <w:t xml:space="preserve"/>
      </w:r>
    </w:p>
    <w:p w14:paraId="4B362B34" w14:textId="77777777" w:rsidR="0055657F" w:rsidRPr="00AF750D" w:rsidRDefault="0055657F" w:rsidP="00AF750D">
      <w:pPr>
        <w:rPr>
          <w:rFonts w:ascii="Times New Roman" w:eastAsia="Times New Roman" w:hAnsi="Times New Roman" w:cs="Times New Roman"/>
          <w:lang w:eastAsia="tr-TR"/>
        </w:rPr>
      </w:pPr>
      <w:r w:rsidRPr="00AF750D">
        <w:rPr>
          <w:rFonts w:ascii="Times New Roman" w:eastAsia="Times New Roman" w:hAnsi="Symbol" w:cs="Times New Roman"/>
          <w:lang w:eastAsia="tr-TR"/>
        </w:rPr>
        <w:t xml:space="preserve">Sözleşmeli işçiler: İnşaat sırasında yaklaşık 1.500–2.000 (25–40 CSC personeli dahil), işletme sırasında ise 50–75 kişi.</w:t>
      </w:r>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b/>
          <w:bCs/>
          <w:lang w:eastAsia="tr-TR"/>
        </w:rPr>
        <w:t xml:space="preserve"/>
      </w:r>
      <w:proofErr w:type="spellEnd"/>
      <w:r w:rsidRPr="00AF750D">
        <w:rPr>
          <w:rFonts w:ascii="Times New Roman" w:eastAsia="Times New Roman" w:hAnsi="Times New Roman" w:cs="Times New Roman"/>
          <w:b/>
          <w:bCs/>
          <w:lang w:eastAsia="tr-TR"/>
        </w:rPr>
        <w:t xml:space="preserve"/>
      </w:r>
      <w:proofErr w:type="spellStart"/>
      <w:r w:rsidRPr="00AF750D">
        <w:rPr>
          <w:rFonts w:ascii="Times New Roman" w:eastAsia="Times New Roman" w:hAnsi="Times New Roman" w:cs="Times New Roman"/>
          <w:b/>
          <w:bCs/>
          <w:lang w:eastAsia="tr-TR"/>
        </w:rPr>
        <w:t xml:space="preserve"/>
      </w:r>
      <w:proofErr w:type="spellEnd"/>
      <w:r w:rsidRPr="00AF750D">
        <w:rPr>
          <w:rFonts w:ascii="Times New Roman" w:eastAsia="Times New Roman" w:hAnsi="Times New Roman" w:cs="Times New Roman"/>
          <w:b/>
          <w:bCs/>
          <w:lang w:eastAsia="tr-TR"/>
        </w:rPr>
        <w:t xml:space="preserve"/>
      </w:r>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r w:rsidRPr="00AF750D">
        <w:rPr>
          <w:rFonts w:ascii="Times New Roman" w:eastAsia="Times New Roman" w:hAnsi="Times New Roman" w:cs="Times New Roman"/>
          <w:b/>
          <w:bCs/>
          <w:lang w:eastAsia="tr-TR"/>
        </w:rPr>
        <w:t xml:space="preserve"/>
      </w:r>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r w:rsidRPr="00AF750D">
        <w:rPr>
          <w:rFonts w:ascii="Times New Roman" w:eastAsia="Times New Roman" w:hAnsi="Times New Roman" w:cs="Times New Roman"/>
          <w:b/>
          <w:bCs/>
          <w:lang w:eastAsia="tr-TR"/>
        </w:rPr>
        <w:t xml:space="preserve"/>
      </w:r>
      <w:proofErr w:type="spellStart"/>
      <w:r w:rsidRPr="00AF750D">
        <w:rPr>
          <w:rFonts w:ascii="Times New Roman" w:eastAsia="Times New Roman" w:hAnsi="Times New Roman" w:cs="Times New Roman"/>
          <w:b/>
          <w:bCs/>
          <w:lang w:eastAsia="tr-TR"/>
        </w:rPr>
        <w:t xml:space="preserve"/>
      </w:r>
      <w:proofErr w:type="spellEnd"/>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r w:rsidRPr="00AF750D">
        <w:rPr>
          <w:rFonts w:ascii="Times New Roman" w:eastAsia="Times New Roman" w:hAnsi="Times New Roman" w:cs="Times New Roman"/>
          <w:b/>
          <w:bCs/>
          <w:lang w:eastAsia="tr-TR"/>
        </w:rPr>
        <w:t xml:space="preserve"/>
      </w:r>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proofErr w:type="spellStart"/>
      <w:r w:rsidRPr="00AF750D">
        <w:rPr>
          <w:rFonts w:ascii="Times New Roman" w:eastAsia="Times New Roman" w:hAnsi="Times New Roman" w:cs="Times New Roman"/>
          <w:lang w:eastAsia="tr-TR"/>
        </w:rPr>
        <w:t xml:space="preserve"/>
      </w:r>
      <w:proofErr w:type="spellEnd"/>
      <w:r w:rsidRPr="00AF750D">
        <w:rPr>
          <w:rFonts w:ascii="Times New Roman" w:eastAsia="Times New Roman" w:hAnsi="Times New Roman" w:cs="Times New Roman"/>
          <w:lang w:eastAsia="tr-TR"/>
        </w:rPr>
        <w:t xml:space="preserve"/>
      </w:r>
    </w:p>
    <w:p w14:paraId="4BB778F8" w14:textId="78245915" w:rsidR="0055657F" w:rsidRDefault="0055657F" w:rsidP="00AF750D">
      <w:pPr>
        <w:pStyle w:val="AklamaMetni"/>
      </w:pPr>
      <w:r w:rsidRPr="00AF750D">
        <w:rPr>
          <w:rFonts w:ascii="Times New Roman" w:eastAsia="Times New Roman" w:hAnsi="Symbol" w:cs="Times New Roman"/>
          <w:sz w:val="24"/>
          <w:szCs w:val="24"/>
          <w:lang w:eastAsia="tr-TR"/>
        </w:rPr>
        <w:t xml:space="preserve">Birincil tedarik işçileri: İnşaat sırasında yaklaşık 250–300, işletme sırasında ise 25–50 kişi</w:t>
      </w:r>
      <w:r w:rsidRPr="00AF750D">
        <w:rPr>
          <w:rFonts w:ascii="Times New Roman" w:eastAsia="Times New Roman" w:hAnsi="Times New Roman" w:cs="Times New Roman"/>
          <w:sz w:val="24"/>
          <w:szCs w:val="24"/>
          <w:lang w:eastAsia="tr-TR"/>
        </w:rPr>
        <w:t xml:space="preserve"/>
      </w:r>
      <w:proofErr w:type="spellStart"/>
      <w:r w:rsidRPr="00AF750D">
        <w:rPr>
          <w:rFonts w:ascii="Times New Roman" w:eastAsia="Times New Roman" w:hAnsi="Times New Roman" w:cs="Times New Roman"/>
          <w:b/>
          <w:bCs/>
          <w:sz w:val="24"/>
          <w:szCs w:val="24"/>
          <w:lang w:eastAsia="tr-TR"/>
        </w:rPr>
        <w:t xml:space="preserve"/>
      </w:r>
      <w:proofErr w:type="spellEnd"/>
      <w:r w:rsidRPr="00AF750D">
        <w:rPr>
          <w:rFonts w:ascii="Times New Roman" w:eastAsia="Times New Roman" w:hAnsi="Times New Roman" w:cs="Times New Roman"/>
          <w:b/>
          <w:bCs/>
          <w:sz w:val="24"/>
          <w:szCs w:val="24"/>
          <w:lang w:eastAsia="tr-TR"/>
        </w:rPr>
        <w:t xml:space="preserve"/>
      </w:r>
      <w:proofErr w:type="spellStart"/>
      <w:r w:rsidRPr="00AF750D">
        <w:rPr>
          <w:rFonts w:ascii="Times New Roman" w:eastAsia="Times New Roman" w:hAnsi="Times New Roman" w:cs="Times New Roman"/>
          <w:b/>
          <w:bCs/>
          <w:sz w:val="24"/>
          <w:szCs w:val="24"/>
          <w:lang w:eastAsia="tr-TR"/>
        </w:rPr>
        <w:t xml:space="preserve"/>
      </w:r>
      <w:proofErr w:type="spellEnd"/>
      <w:r w:rsidRPr="00AF750D">
        <w:rPr>
          <w:rFonts w:ascii="Times New Roman" w:eastAsia="Times New Roman" w:hAnsi="Times New Roman" w:cs="Times New Roman"/>
          <w:b/>
          <w:bCs/>
          <w:sz w:val="24"/>
          <w:szCs w:val="24"/>
          <w:lang w:eastAsia="tr-TR"/>
        </w:rPr>
        <w:t xml:space="preserve"/>
      </w:r>
      <w:proofErr w:type="spellStart"/>
      <w:r w:rsidRPr="00AF750D">
        <w:rPr>
          <w:rFonts w:ascii="Times New Roman" w:eastAsia="Times New Roman" w:hAnsi="Times New Roman" w:cs="Times New Roman"/>
          <w:b/>
          <w:bCs/>
          <w:sz w:val="24"/>
          <w:szCs w:val="24"/>
          <w:lang w:eastAsia="tr-TR"/>
        </w:rPr>
        <w:t xml:space="preserve"/>
      </w:r>
      <w:proofErr w:type="spellEnd"/>
      <w:r w:rsidRPr="00AF750D">
        <w:rPr>
          <w:rFonts w:ascii="Times New Roman" w:eastAsia="Times New Roman" w:hAnsi="Times New Roman" w:cs="Times New Roman"/>
          <w:b/>
          <w:bCs/>
          <w:sz w:val="24"/>
          <w:szCs w:val="24"/>
          <w:lang w:eastAsia="tr-TR"/>
        </w:rPr>
        <w:t xml:space="preserve"/>
      </w:r>
      <w:r w:rsidRPr="00AF750D">
        <w:rPr>
          <w:rFonts w:ascii="Times New Roman" w:eastAsia="Times New Roman" w:hAnsi="Times New Roman" w:cs="Times New Roman"/>
          <w:sz w:val="24"/>
          <w:szCs w:val="24"/>
          <w:lang w:eastAsia="tr-TR"/>
        </w:rPr>
        <w:t xml:space="preserve"/>
      </w:r>
      <w:proofErr w:type="spellStart"/>
      <w:r w:rsidRPr="00AF750D">
        <w:rPr>
          <w:rFonts w:ascii="Times New Roman" w:eastAsia="Times New Roman" w:hAnsi="Times New Roman" w:cs="Times New Roman"/>
          <w:sz w:val="24"/>
          <w:szCs w:val="24"/>
          <w:lang w:eastAsia="tr-TR"/>
        </w:rPr>
        <w:t xml:space="preserve"/>
      </w:r>
      <w:proofErr w:type="spellEnd"/>
      <w:r w:rsidRPr="00AF750D">
        <w:rPr>
          <w:rFonts w:ascii="Times New Roman" w:eastAsia="Times New Roman" w:hAnsi="Times New Roman" w:cs="Times New Roman"/>
          <w:sz w:val="24"/>
          <w:szCs w:val="24"/>
          <w:lang w:eastAsia="tr-TR"/>
        </w:rPr>
        <w:t xml:space="preserve"/>
      </w:r>
      <w:r w:rsidRPr="00AF750D">
        <w:rPr>
          <w:rFonts w:ascii="Times New Roman" w:eastAsia="Times New Roman" w:hAnsi="Times New Roman" w:cs="Times New Roman"/>
          <w:b/>
          <w:bCs/>
          <w:sz w:val="24"/>
          <w:szCs w:val="24"/>
          <w:lang w:eastAsia="tr-TR"/>
        </w:rPr>
        <w:t xml:space="preserve"/>
      </w:r>
      <w:r w:rsidRPr="00AF750D">
        <w:rPr>
          <w:rFonts w:ascii="Times New Roman" w:eastAsia="Times New Roman" w:hAnsi="Times New Roman" w:cs="Times New Roman"/>
          <w:sz w:val="24"/>
          <w:szCs w:val="24"/>
          <w:lang w:eastAsia="tr-TR"/>
        </w:rPr>
        <w:t xml:space="preserve"/>
      </w:r>
      <w:proofErr w:type="spellStart"/>
      <w:r w:rsidRPr="00AF750D">
        <w:rPr>
          <w:rFonts w:ascii="Times New Roman" w:eastAsia="Times New Roman" w:hAnsi="Times New Roman" w:cs="Times New Roman"/>
          <w:sz w:val="24"/>
          <w:szCs w:val="24"/>
          <w:lang w:eastAsia="tr-TR"/>
        </w:rPr>
        <w:t xml:space="preserve"/>
      </w:r>
      <w:proofErr w:type="spellEnd"/>
      <w:r w:rsidRPr="00AF750D">
        <w:rPr>
          <w:rFonts w:ascii="Times New Roman" w:eastAsia="Times New Roman" w:hAnsi="Times New Roman" w:cs="Times New Roman"/>
          <w:sz w:val="24"/>
          <w:szCs w:val="24"/>
          <w:lang w:eastAsia="tr-TR"/>
        </w:rPr>
        <w:t xml:space="preserve"/>
      </w:r>
      <w:proofErr w:type="spellStart"/>
      <w:r w:rsidRPr="00AF750D">
        <w:rPr>
          <w:rFonts w:ascii="Times New Roman" w:eastAsia="Times New Roman" w:hAnsi="Times New Roman" w:cs="Times New Roman"/>
          <w:sz w:val="24"/>
          <w:szCs w:val="24"/>
          <w:lang w:eastAsia="tr-TR"/>
        </w:rPr>
        <w:t xml:space="preserve"/>
      </w:r>
      <w:proofErr w:type="spellEnd"/>
      <w:r w:rsidRPr="00AF750D">
        <w:rPr>
          <w:rFonts w:ascii="Times New Roman" w:eastAsia="Times New Roman" w:hAnsi="Times New Roman" w:cs="Times New Roman"/>
          <w:sz w:val="24"/>
          <w:szCs w:val="24"/>
          <w:lang w:eastAsia="tr-TR"/>
        </w:rPr>
        <w:t xml:space="preserve"/>
      </w:r>
      <w:proofErr w:type="spellStart"/>
      <w:r w:rsidRPr="00AF750D">
        <w:rPr>
          <w:rFonts w:ascii="Times New Roman" w:eastAsia="Times New Roman" w:hAnsi="Times New Roman" w:cs="Times New Roman"/>
          <w:sz w:val="24"/>
          <w:szCs w:val="24"/>
          <w:lang w:eastAsia="tr-TR"/>
        </w:rPr>
        <w:t xml:space="preserve"/>
      </w:r>
      <w:proofErr w:type="spellEnd"/>
      <w:r w:rsidRPr="00AF750D">
        <w:rPr>
          <w:rFonts w:ascii="Times New Roman" w:eastAsia="Times New Roman" w:hAnsi="Times New Roman" w:cs="Times New Roman"/>
          <w:sz w:val="24"/>
          <w:szCs w:val="24"/>
          <w:lang w:eastAsia="tr-TR"/>
        </w:rPr>
        <w:t xml:space="preserve"/>
      </w:r>
      <w:r w:rsidRPr="00AF750D">
        <w:rPr>
          <w:rFonts w:ascii="Times New Roman" w:eastAsia="Times New Roman" w:hAnsi="Times New Roman" w:cs="Times New Roman"/>
          <w:b/>
          <w:bCs/>
          <w:sz w:val="24"/>
          <w:szCs w:val="24"/>
          <w:lang w:eastAsia="tr-TR"/>
        </w:rPr>
        <w:t xml:space="preserve"/>
      </w:r>
      <w:r w:rsidRPr="00AF750D">
        <w:rPr>
          <w:rFonts w:ascii="Times New Roman" w:eastAsia="Times New Roman" w:hAnsi="Times New Roman" w:cs="Times New Roman"/>
          <w:sz w:val="24"/>
          <w:szCs w:val="24"/>
          <w:lang w:eastAsia="tr-TR"/>
        </w:rPr>
        <w:t xml:space="preserve"/>
      </w:r>
      <w:proofErr w:type="spellStart"/>
      <w:r w:rsidRPr="00AF750D">
        <w:rPr>
          <w:rFonts w:ascii="Times New Roman" w:eastAsia="Times New Roman" w:hAnsi="Times New Roman" w:cs="Times New Roman"/>
          <w:sz w:val="24"/>
          <w:szCs w:val="24"/>
          <w:lang w:eastAsia="tr-TR"/>
        </w:rPr>
        <w:t xml:space="preserve"/>
      </w:r>
      <w:proofErr w:type="spellEnd"/>
      <w:r w:rsidRPr="00AF750D">
        <w:rPr>
          <w:rFonts w:ascii="Times New Roman" w:eastAsia="Times New Roman" w:hAnsi="Times New Roman" w:cs="Times New Roman"/>
          <w:sz w:val="24"/>
          <w:szCs w:val="24"/>
          <w:lang w:eastAsia="tr-TR"/>
        </w:rPr>
        <w:t xml:space="preserve"/>
      </w:r>
      <w:proofErr w:type="spellStart"/>
      <w:r w:rsidRPr="00AF750D">
        <w:rPr>
          <w:rFonts w:ascii="Times New Roman" w:eastAsia="Times New Roman" w:hAnsi="Times New Roman" w:cs="Times New Roman"/>
          <w:sz w:val="24"/>
          <w:szCs w:val="24"/>
          <w:lang w:eastAsia="tr-TR"/>
        </w:rPr>
        <w:t xml:space="preserve"/>
      </w:r>
      <w:proofErr w:type="spellEnd"/>
    </w:p>
  </w:comment>
  <w:comment w:id="7" w:author="Hazal Babur" w:date="2026-04-09T17:51:00Z" w:initials="HB">
    <w:p w14:paraId="488DCA33" w14:textId="76C64249" w:rsidR="0055657F" w:rsidRDefault="0055657F">
      <w:pPr>
        <w:pStyle w:val="AklamaMetni"/>
      </w:pPr>
      <w:r>
        <w:rPr>
          <w:rStyle w:val="AklamaBavurusu"/>
        </w:rPr>
        <w:annotationRef/>
      </w:r>
      <w:proofErr w:type="spellStart"/>
      <w:r>
        <w:t xml:space="preserve">ESIA s.161'den eklenmiştir: Savunmasız gruplar/Türkçe konuşmayanlar.</w:t>
      </w:r>
      <w:proofErr w:type="spellEnd"/>
      <w:r>
        <w:t xml:space="preserve"/>
      </w:r>
      <w:proofErr w:type="spellStart"/>
      <w:r>
        <w:t xml:space="preserve"/>
      </w:r>
      <w:proofErr w:type="spellEnd"/>
      <w:r>
        <w:t xml:space="preserve"/>
      </w:r>
      <w:proofErr w:type="spellStart"/>
      <w:r>
        <w:t xml:space="preserve"/>
      </w:r>
      <w:proofErr w:type="spellEnd"/>
      <w:r>
        <w:t xml:space="preserve"/>
      </w:r>
      <w:proofErr w:type="spellStart"/>
      <w:r>
        <w:t xml:space="preserve"/>
      </w:r>
      <w:proofErr w:type="spellEnd"/>
      <w:r>
        <w:t xml:space="preserve"/>
      </w:r>
      <w:proofErr w:type="spellStart"/>
      <w:r>
        <w:t xml:space="preserve"/>
      </w:r>
      <w:proofErr w:type="spellEnd"/>
      <w:r>
        <w:t xml:space="preserve"/>
      </w:r>
      <w:proofErr w:type="spellStart"/>
      <w:r>
        <w:t xml:space="preserve"/>
      </w:r>
      <w:proofErr w:type="spellEnd"/>
      <w:r>
        <w:t xml:space="preserve"/>
      </w:r>
      <w:proofErr w:type="spellStart"/>
      <w:r>
        <w:t xml:space="preserve"/>
      </w:r>
      <w:proofErr w:type="spellEnd"/>
      <w:r>
        <w:t xml:space="preserve"/>
      </w:r>
    </w:p>
  </w:comment>
  <w:comment w:id="8" w:author="Hazal Babur" w:date="2026-07-01T14:38:00Z" w:initials="HB">
    <w:p w14:paraId="1A2DD557" w14:textId="454936CE" w:rsidR="00581558" w:rsidRDefault="00581558">
      <w:pPr>
        <w:pStyle w:val="AklamaMetni"/>
      </w:pPr>
      <w:r>
        <w:rPr>
          <w:rStyle w:val="AklamaBavurusu"/>
        </w:rPr>
        <w:annotationRef/>
      </w:r>
      <w:r>
        <w:t xml:space="preserve">Bütçe, AYGM finans ekibiyle birlikte oluşturulacaktır.</w:t>
      </w:r>
      <w:proofErr w:type="spellStart"/>
      <w:r>
        <w:t xml:space="preserve"/>
      </w:r>
      <w:proofErr w:type="spellEnd"/>
      <w:r>
        <w:t xml:space="preserve"/>
      </w:r>
      <w:proofErr w:type="spellStart"/>
      <w:r>
        <w:t xml:space="preserve"/>
      </w:r>
      <w:proofErr w:type="spellEnd"/>
      <w:r>
        <w:t xml:space="preserve"/>
      </w:r>
      <w:proofErr w:type="spellStart"/>
      <w:r>
        <w:t xml:space="preserve"/>
      </w:r>
      <w:proofErr w:type="spellEnd"/>
      <w:r>
        <w:t xml:space="preserve"/>
      </w:r>
      <w:proofErr w:type="spellStart"/>
      <w:r>
        <w:t xml:space="preserve"/>
      </w:r>
      <w:proofErr w:type="spellEnd"/>
      <w:r>
        <w:t xml:space="preserve"/>
      </w:r>
      <w:proofErr w:type="spellStart"/>
      <w:r>
        <w:t xml:space="preserve"/>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B778F8" w15:done="0"/>
  <w15:commentEx w15:paraId="488DCA33" w15:done="0"/>
  <w15:commentEx w15:paraId="1A2DD5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8204E5" w16cex:dateUtc="2026-01-2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336A25" w16cid:durableId="1B8204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96990" w14:textId="77777777" w:rsidR="00581A1D" w:rsidRDefault="00581A1D" w:rsidP="00F72E1E">
      <w:r>
        <w:separator/>
      </w:r>
    </w:p>
  </w:endnote>
  <w:endnote w:type="continuationSeparator" w:id="0">
    <w:p w14:paraId="47E4F3DF" w14:textId="77777777" w:rsidR="00581A1D" w:rsidRDefault="00581A1D" w:rsidP="00F7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F2305" w14:textId="4AE46083" w:rsidR="0055657F" w:rsidRDefault="0055657F" w:rsidP="002B693E">
    <w:pPr>
      <w:pStyle w:val="AltBilgi"/>
      <w:framePr w:wrap="none" w:vAnchor="text" w:hAnchor="margin" w:xAlign="right" w:y="1"/>
      <w:rPr>
        <w:rStyle w:val="SayfaNumaras"/>
      </w:rPr>
    </w:pPr>
    <w:r>
      <w:rPr>
        <w:noProof/>
        <w:lang w:eastAsia="tr-TR"/>
      </w:rPr>
      <mc:AlternateContent>
        <mc:Choice Requires="wps">
          <w:drawing>
            <wp:anchor distT="0" distB="0" distL="0" distR="0" simplePos="0" relativeHeight="251658241" behindDoc="0" locked="0" layoutInCell="1" allowOverlap="1" wp14:anchorId="3657646C" wp14:editId="6251226F">
              <wp:simplePos x="635" y="635"/>
              <wp:positionH relativeFrom="page">
                <wp:align>right</wp:align>
              </wp:positionH>
              <wp:positionV relativeFrom="page">
                <wp:align>bottom</wp:align>
              </wp:positionV>
              <wp:extent cx="1106805" cy="345440"/>
              <wp:effectExtent l="0" t="0" r="0" b="0"/>
              <wp:wrapNone/>
              <wp:docPr id="1878557086"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4BF8D15" w14:textId="339429C8"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657646C"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" filled="f" stroked="f">
              <v:textbox style="mso-fit-shape-to-text:t" inset="0,0,20pt,15pt">
                <w:txbxContent>
                  <w:p w14:paraId="34BF8D15" w14:textId="339429C8"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 xml:space="preserve">Yalnızca Resmi Kullanım İçindir</w:t>
                    </w:r>
                  </w:p>
                </w:txbxContent>
              </v:textbox>
              <w10:wrap anchorx="page" anchory="page"/>
            </v:shape>
          </w:pict>
        </mc:Fallback>
      </mc:AlternateContent>
    </w:r>
  </w:p>
  <w:sdt>
    <w:sdtPr>
      <w:rPr>
        <w:rStyle w:val="SayfaNumaras"/>
      </w:rPr>
      <w:id w:val="1345583419"/>
      <w:docPartObj>
        <w:docPartGallery w:val="Page Numbers (Bottom of Page)"/>
        <w:docPartUnique/>
      </w:docPartObj>
    </w:sdtPr>
    <w:sdtContent>
      <w:p w14:paraId="40341A3C" w14:textId="77777777" w:rsidR="0055657F" w:rsidRDefault="0055657F" w:rsidP="002B693E">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Pr>
            <w:rStyle w:val="SayfaNumaras"/>
            <w:noProof/>
          </w:rPr>
          <w:t xml:space="preserve">2</w:t>
        </w:r>
        <w:r>
          <w:rPr>
            <w:rStyle w:val="SayfaNumaras"/>
          </w:rPr>
          <w:fldChar w:fldCharType="end"/>
        </w:r>
      </w:p>
    </w:sdtContent>
  </w:sdt>
  <w:p w14:paraId="1EDF3C47" w14:textId="77777777" w:rsidR="0055657F" w:rsidRDefault="0055657F" w:rsidP="002B693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E6685" w14:textId="0DC64EB2" w:rsidR="0055657F" w:rsidRDefault="0055657F" w:rsidP="002B693E">
    <w:pPr>
      <w:pStyle w:val="AltBilgi"/>
      <w:framePr w:wrap="none" w:vAnchor="text" w:hAnchor="margin" w:xAlign="right" w:y="1"/>
      <w:rPr>
        <w:rStyle w:val="SayfaNumaras"/>
      </w:rPr>
    </w:pPr>
    <w:r>
      <w:rPr>
        <w:noProof/>
        <w:lang w:eastAsia="tr-TR"/>
      </w:rPr>
      <mc:AlternateContent>
        <mc:Choice Requires="wps">
          <w:drawing>
            <wp:anchor distT="0" distB="0" distL="0" distR="0" simplePos="0" relativeHeight="251658242" behindDoc="0" locked="0" layoutInCell="1" allowOverlap="1" wp14:anchorId="707F9784" wp14:editId="0680232D">
              <wp:simplePos x="635" y="635"/>
              <wp:positionH relativeFrom="page">
                <wp:align>right</wp:align>
              </wp:positionH>
              <wp:positionV relativeFrom="page">
                <wp:align>bottom</wp:align>
              </wp:positionV>
              <wp:extent cx="1106805" cy="345440"/>
              <wp:effectExtent l="0" t="0" r="0" b="0"/>
              <wp:wrapNone/>
              <wp:docPr id="150085282"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A62E241" w14:textId="2E8E96A2"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07F9784"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" filled="f" stroked="f">
              <v:textbox style="mso-fit-shape-to-text:t" inset="0,0,20pt,15pt">
                <w:txbxContent>
                  <w:p w14:paraId="2A62E241" w14:textId="2E8E96A2"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 xml:space="preserve">Yalnızca Resmi Kullanım İçindir</w:t>
                    </w:r>
                  </w:p>
                </w:txbxContent>
              </v:textbox>
              <w10:wrap anchorx="page" anchory="page"/>
            </v:shape>
          </w:pict>
        </mc:Fallback>
      </mc:AlternateContent>
    </w:r>
    <w:sdt>
      <w:sdtPr>
        <w:rPr>
          <w:rStyle w:val="SayfaNumaras"/>
        </w:rPr>
        <w:id w:val="-166480193"/>
        <w:docPartObj>
          <w:docPartGallery w:val="Page Numbers (Bottom of Page)"/>
          <w:docPartUnique/>
        </w:docPartObj>
      </w:sdtPr>
      <w:sdtContent>
        <w:r>
          <w:rPr>
            <w:rStyle w:val="SayfaNumaras"/>
          </w:rPr>
          <w:fldChar w:fldCharType="begin"/>
        </w:r>
        <w:r>
          <w:rPr>
            <w:rStyle w:val="SayfaNumaras"/>
          </w:rPr>
          <w:instrText xml:space="preserve"> PAGE </w:instrText>
        </w:r>
        <w:r>
          <w:rPr>
            <w:rStyle w:val="SayfaNumaras"/>
          </w:rPr>
          <w:fldChar w:fldCharType="separate"/>
        </w:r>
        <w:r w:rsidR="0026561E">
          <w:rPr>
            <w:rStyle w:val="SayfaNumaras"/>
            <w:noProof/>
          </w:rPr>
          <w:t>7</w:t>
        </w:r>
        <w:r>
          <w:rPr>
            <w:rStyle w:val="SayfaNumaras"/>
          </w:rPr>
          <w:fldChar w:fldCharType="end"/>
        </w:r>
      </w:sdtContent>
    </w:sdt>
  </w:p>
  <w:p w14:paraId="40EFD7CE" w14:textId="77777777" w:rsidR="0055657F" w:rsidRDefault="0055657F" w:rsidP="002B693E">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F2E9C" w14:textId="335B2B0D" w:rsidR="0055657F" w:rsidRDefault="0055657F" w:rsidP="00595C64">
    <w:pPr>
      <w:pStyle w:val="AltBilgi"/>
    </w:pPr>
    <w:r>
      <w:rPr>
        <w:noProof/>
        <w:lang w:eastAsia="tr-TR"/>
      </w:rPr>
      <mc:AlternateContent>
        <mc:Choice Requires="wps">
          <w:drawing>
            <wp:anchor distT="0" distB="0" distL="0" distR="0" simplePos="0" relativeHeight="251658240" behindDoc="0" locked="0" layoutInCell="1" allowOverlap="1" wp14:anchorId="4B8F6544" wp14:editId="5214420E">
              <wp:simplePos x="635" y="635"/>
              <wp:positionH relativeFrom="page">
                <wp:align>right</wp:align>
              </wp:positionH>
              <wp:positionV relativeFrom="page">
                <wp:align>bottom</wp:align>
              </wp:positionV>
              <wp:extent cx="1106805" cy="345440"/>
              <wp:effectExtent l="0" t="0" r="0" b="0"/>
              <wp:wrapNone/>
              <wp:docPr id="377885406"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EA88462" w14:textId="11EB6445"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B8F6544"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X4ycB3oCAAC+BAAADgAA&#10;AAAAAAAAAAAAAAAuAgAAZHJzL2Uyb0RvYy54bWxQSwECLQAUAAYACAAAACEAIKLDy9sAAAAEAQAA&#10;DwAAAAAAAAAAAAAAAADUBAAAZHJzL2Rvd25yZXYueG1sUEsFBgAAAAAEAAQA8wAAANwFAAAAAA==&#10;" filled="f" stroked="f">
              <v:textbox style="mso-fit-shape-to-text:t" inset="0,0,20pt,15pt">
                <w:txbxContent>
                  <w:p w14:paraId="2EA88462" w14:textId="11EB6445"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 xml:space="preserve">Yalnızca Resmi Kullanım İçindir</w:t>
                    </w:r>
                  </w:p>
                </w:txbxContent>
              </v:textbox>
              <w10:wrap anchorx="page" anchory="page"/>
            </v:shape>
          </w:pict>
        </mc:Fallback>
      </mc:AlternateContent>
    </w:r>
  </w:p>
  <w:p w14:paraId="642B4ADC" w14:textId="77777777" w:rsidR="0055657F" w:rsidRDefault="0055657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037A9" w14:textId="77777777" w:rsidR="00581A1D" w:rsidRDefault="00581A1D" w:rsidP="00F72E1E">
      <w:r>
        <w:separator/>
      </w:r>
    </w:p>
  </w:footnote>
  <w:footnote w:type="continuationSeparator" w:id="0">
    <w:p w14:paraId="4040FD3B" w14:textId="77777777" w:rsidR="00581A1D" w:rsidRDefault="00581A1D" w:rsidP="00F72E1E">
      <w:r>
        <w:continuationSeparator/>
      </w:r>
    </w:p>
  </w:footnote>
  <w:footnote w:id="1">
    <w:p w14:paraId="7999357A" w14:textId="7CF86547" w:rsidR="0055657F" w:rsidRPr="00CE6EDF" w:rsidRDefault="0055657F" w:rsidP="00CE6EDF">
      <w:pPr>
        <w:pStyle w:val="DipnotMetni"/>
        <w:jc w:val="both"/>
        <w:rPr>
          <w:rFonts w:ascii="Times New Roman" w:hAnsi="Times New Roman" w:cs="Times New Roman"/>
        </w:rPr>
      </w:pPr>
      <w:r w:rsidRPr="00CE6EDF">
        <w:rPr>
          <w:rStyle w:val="DipnotBavurusu"/>
          <w:rFonts w:ascii="Times New Roman" w:hAnsi="Times New Roman" w:cs="Times New Roman"/>
          <w:sz w:val="16"/>
          <w:szCs w:val="16"/>
        </w:rPr>
        <w:footnoteRef/>
      </w:r>
      <w:r w:rsidRPr="00CE6EDF">
        <w:rPr>
          <w:rFonts w:ascii="Times New Roman" w:hAnsi="Times New Roman" w:cs="Times New Roman"/>
          <w:sz w:val="16"/>
          <w:szCs w:val="16"/>
        </w:rPr>
        <w:t xml:space="preserve">Bu faaliyet, uygun şekilde planlanıp yürütülmediği takdirde kadınları ve kız çocuklarını risk altına sokabilir. İstişarelerin temel koruma önlemleriyle uyumlu şekilde hazırlanması ve yürütülmesi, CSİ/CT deneyimlerini paylaşan katılımcıların ilgili hizmetlere yönlendirilmesine olanak tanınması, veri toplamadan sorumlu paydaşların bu tür kolaylaştırılmış istişareler konusunda eğitimli ve deneyimli olması ve CSİ/CT deneyimlerine ilişkin hiçbir bireysel verinin toplanmaması zorunludur. Daha fazla bilgi için İnşaat İşleri CSİ/CT İyi Uygulama Notunun (GPN) 2 numaralı Ekine başvurunuz.</w:t>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r>
        <w:rPr>
          <w:rFonts w:ascii="Times New Roman" w:hAnsi="Times New Roman" w:cs="Times New Roman"/>
          <w:sz w:val="16"/>
          <w:szCs w:val="16"/>
        </w:rPr>
        <w:t xml:space="preserve"/>
      </w:r>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gramStart"/>
      <w:r w:rsidRPr="00CE6EDF">
        <w:rPr>
          <w:rFonts w:ascii="Times New Roman" w:hAnsi="Times New Roman" w:cs="Times New Roman"/>
          <w:sz w:val="16"/>
          <w:szCs w:val="16"/>
        </w:rPr>
        <w:t xml:space="preserve"/>
      </w:r>
      <w:proofErr w:type="gram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r>
        <w:rPr>
          <w:rFonts w:ascii="Times New Roman" w:hAnsi="Times New Roman" w:cs="Times New Roman"/>
          <w:sz w:val="16"/>
          <w:szCs w:val="16"/>
        </w:rPr>
        <w:t xml:space="preserve"/>
      </w:r>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proofErr w:type="gram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proofErr w:type="gram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roofErr w:type="spellStart"/>
      <w:r w:rsidRPr="00CE6EDF">
        <w:rPr>
          <w:rFonts w:ascii="Times New Roman" w:hAnsi="Times New Roman" w:cs="Times New Roman"/>
          <w:sz w:val="16"/>
          <w:szCs w:val="16"/>
        </w:rPr>
        <w:t xml:space="preserve"/>
      </w:r>
      <w:proofErr w:type="spellEnd"/>
      <w:r w:rsidRPr="00CE6EDF">
        <w:rPr>
          <w:rFonts w:ascii="Times New Roman" w:hAnsi="Times New Roman" w:cs="Times New Roman"/>
          <w:sz w:val="16"/>
          <w:szCs w:val="16"/>
        </w:rPr>
        <w:t xml:space="preserve"/>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EDEAE" w14:textId="77777777" w:rsidR="0055657F" w:rsidRDefault="0055657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55F02" w14:textId="77777777" w:rsidR="0055657F" w:rsidRDefault="0055657F" w:rsidP="009D4B8B">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BEA"/>
    <w:multiLevelType w:val="multilevel"/>
    <w:tmpl w:val="9F72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466DB"/>
    <w:multiLevelType w:val="hybridMultilevel"/>
    <w:tmpl w:val="2552087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436E9C"/>
    <w:multiLevelType w:val="hybridMultilevel"/>
    <w:tmpl w:val="2D5A59BC"/>
    <w:lvl w:ilvl="0" w:tplc="041F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535EB7"/>
    <w:multiLevelType w:val="hybridMultilevel"/>
    <w:tmpl w:val="D1F2E2F8"/>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590C01"/>
    <w:multiLevelType w:val="hybridMultilevel"/>
    <w:tmpl w:val="786C6DF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427555B"/>
    <w:multiLevelType w:val="hybridMultilevel"/>
    <w:tmpl w:val="8A28C7D6"/>
    <w:lvl w:ilvl="0" w:tplc="0CA0A1F2">
      <w:start w:val="1"/>
      <w:numFmt w:val="lowerRoman"/>
      <w:lvlText w:val="(%1)"/>
      <w:lvlJc w:val="right"/>
      <w:pPr>
        <w:ind w:left="720" w:hanging="360"/>
      </w:pPr>
      <w:rPr>
        <w:rFonts w:hint="default"/>
        <w:b w:val="0"/>
        <w:bCs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E314E"/>
    <w:multiLevelType w:val="hybridMultilevel"/>
    <w:tmpl w:val="61685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0406F"/>
    <w:multiLevelType w:val="hybridMultilevel"/>
    <w:tmpl w:val="25FA4D5E"/>
    <w:lvl w:ilvl="0" w:tplc="0CA0A1F2">
      <w:start w:val="1"/>
      <w:numFmt w:val="lowerRoman"/>
      <w:lvlText w:val="(%1)"/>
      <w:lvlJc w:val="right"/>
      <w:pPr>
        <w:ind w:left="1080" w:hanging="360"/>
      </w:pPr>
      <w:rPr>
        <w:rFonts w:hint="default"/>
        <w:b w:val="0"/>
        <w:bCs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A0A2520"/>
    <w:multiLevelType w:val="multilevel"/>
    <w:tmpl w:val="0228FB14"/>
    <w:lvl w:ilvl="0">
      <w:start w:val="1"/>
      <w:numFmt w:val="decimal"/>
      <w:lvlText w:val="%1"/>
      <w:lvlJc w:val="left"/>
      <w:pPr>
        <w:ind w:left="360" w:hanging="360"/>
      </w:pPr>
      <w:rPr>
        <w:rFonts w:hint="default"/>
      </w:rPr>
    </w:lvl>
    <w:lvl w:ilvl="1">
      <w:start w:val="1"/>
      <w:numFmt w:val="lowerLetter"/>
      <w:lvlText w:val="%2)"/>
      <w:lvlJc w:val="left"/>
      <w:pPr>
        <w:ind w:left="64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D15AC1"/>
    <w:multiLevelType w:val="hybridMultilevel"/>
    <w:tmpl w:val="242C171E"/>
    <w:lvl w:ilvl="0" w:tplc="C0702FF4">
      <w:start w:val="1"/>
      <w:numFmt w:val="bullet"/>
      <w:lvlText w:val=""/>
      <w:lvlJc w:val="left"/>
      <w:pPr>
        <w:ind w:left="1080" w:hanging="360"/>
      </w:pPr>
      <w:rPr>
        <w:rFonts w:ascii="Symbol" w:hAnsi="Symbol"/>
      </w:rPr>
    </w:lvl>
    <w:lvl w:ilvl="1" w:tplc="3640A0C0">
      <w:start w:val="1"/>
      <w:numFmt w:val="bullet"/>
      <w:lvlText w:val=""/>
      <w:lvlJc w:val="left"/>
      <w:pPr>
        <w:ind w:left="1800" w:hanging="360"/>
      </w:pPr>
      <w:rPr>
        <w:rFonts w:ascii="Symbol" w:hAnsi="Symbol"/>
      </w:rPr>
    </w:lvl>
    <w:lvl w:ilvl="2" w:tplc="F1B6920E">
      <w:start w:val="1"/>
      <w:numFmt w:val="bullet"/>
      <w:lvlText w:val=""/>
      <w:lvlJc w:val="left"/>
      <w:pPr>
        <w:ind w:left="1080" w:hanging="360"/>
      </w:pPr>
      <w:rPr>
        <w:rFonts w:ascii="Symbol" w:hAnsi="Symbol"/>
      </w:rPr>
    </w:lvl>
    <w:lvl w:ilvl="3" w:tplc="BEFE8710">
      <w:start w:val="1"/>
      <w:numFmt w:val="bullet"/>
      <w:lvlText w:val=""/>
      <w:lvlJc w:val="left"/>
      <w:pPr>
        <w:ind w:left="1080" w:hanging="360"/>
      </w:pPr>
      <w:rPr>
        <w:rFonts w:ascii="Symbol" w:hAnsi="Symbol"/>
      </w:rPr>
    </w:lvl>
    <w:lvl w:ilvl="4" w:tplc="D4C2AEC0">
      <w:start w:val="1"/>
      <w:numFmt w:val="bullet"/>
      <w:lvlText w:val=""/>
      <w:lvlJc w:val="left"/>
      <w:pPr>
        <w:ind w:left="1080" w:hanging="360"/>
      </w:pPr>
      <w:rPr>
        <w:rFonts w:ascii="Symbol" w:hAnsi="Symbol"/>
      </w:rPr>
    </w:lvl>
    <w:lvl w:ilvl="5" w:tplc="6C74FF62">
      <w:start w:val="1"/>
      <w:numFmt w:val="bullet"/>
      <w:lvlText w:val=""/>
      <w:lvlJc w:val="left"/>
      <w:pPr>
        <w:ind w:left="1080" w:hanging="360"/>
      </w:pPr>
      <w:rPr>
        <w:rFonts w:ascii="Symbol" w:hAnsi="Symbol"/>
      </w:rPr>
    </w:lvl>
    <w:lvl w:ilvl="6" w:tplc="E4DEBF64">
      <w:start w:val="1"/>
      <w:numFmt w:val="bullet"/>
      <w:lvlText w:val=""/>
      <w:lvlJc w:val="left"/>
      <w:pPr>
        <w:ind w:left="1080" w:hanging="360"/>
      </w:pPr>
      <w:rPr>
        <w:rFonts w:ascii="Symbol" w:hAnsi="Symbol"/>
      </w:rPr>
    </w:lvl>
    <w:lvl w:ilvl="7" w:tplc="097631D4">
      <w:start w:val="1"/>
      <w:numFmt w:val="bullet"/>
      <w:lvlText w:val=""/>
      <w:lvlJc w:val="left"/>
      <w:pPr>
        <w:ind w:left="1080" w:hanging="360"/>
      </w:pPr>
      <w:rPr>
        <w:rFonts w:ascii="Symbol" w:hAnsi="Symbol"/>
      </w:rPr>
    </w:lvl>
    <w:lvl w:ilvl="8" w:tplc="1146F300">
      <w:start w:val="1"/>
      <w:numFmt w:val="bullet"/>
      <w:lvlText w:val=""/>
      <w:lvlJc w:val="left"/>
      <w:pPr>
        <w:ind w:left="1080" w:hanging="360"/>
      </w:pPr>
      <w:rPr>
        <w:rFonts w:ascii="Symbol" w:hAnsi="Symbol"/>
      </w:rPr>
    </w:lvl>
  </w:abstractNum>
  <w:abstractNum w:abstractNumId="10" w15:restartNumberingAfterBreak="0">
    <w:nsid w:val="337F4406"/>
    <w:multiLevelType w:val="hybridMultilevel"/>
    <w:tmpl w:val="5C72ED40"/>
    <w:lvl w:ilvl="0" w:tplc="041F0013">
      <w:start w:val="1"/>
      <w:numFmt w:val="upperRoman"/>
      <w:lvlText w:val="%1."/>
      <w:lvlJc w:val="right"/>
      <w:pPr>
        <w:ind w:left="720" w:hanging="360"/>
      </w:pPr>
    </w:lvl>
    <w:lvl w:ilvl="1" w:tplc="2DDCCBAA">
      <w:start w:val="1"/>
      <w:numFmt w:val="lowerRoman"/>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443E0A"/>
    <w:multiLevelType w:val="hybridMultilevel"/>
    <w:tmpl w:val="01AA1ACE"/>
    <w:lvl w:ilvl="0" w:tplc="041F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33403"/>
    <w:multiLevelType w:val="hybridMultilevel"/>
    <w:tmpl w:val="C5F4AB4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644573A"/>
    <w:multiLevelType w:val="multilevel"/>
    <w:tmpl w:val="3F9A613A"/>
    <w:styleLink w:val="AECOMBullets"/>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color w:val="auto"/>
      </w:rPr>
    </w:lvl>
    <w:lvl w:ilvl="2">
      <w:start w:val="1"/>
      <w:numFmt w:val="bullet"/>
      <w:lvlText w:val="─"/>
      <w:lvlJc w:val="left"/>
      <w:pPr>
        <w:ind w:left="852" w:hanging="284"/>
      </w:pPr>
      <w:rPr>
        <w:rFonts w:ascii="Calibri" w:hAnsi="Calibri" w:hint="default"/>
        <w:color w:val="auto"/>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hint="default"/>
      </w:rPr>
    </w:lvl>
    <w:lvl w:ilvl="5">
      <w:start w:val="1"/>
      <w:numFmt w:val="bullet"/>
      <w:lvlText w:val=""/>
      <w:lvlJc w:val="left"/>
      <w:pPr>
        <w:tabs>
          <w:tab w:val="num" w:pos="2346"/>
        </w:tabs>
        <w:ind w:left="1704" w:hanging="284"/>
      </w:pPr>
      <w:rPr>
        <w:rFonts w:ascii="Wingdings" w:hAnsi="Wingdings" w:hint="default"/>
      </w:rPr>
    </w:lvl>
    <w:lvl w:ilvl="6">
      <w:start w:val="1"/>
      <w:numFmt w:val="bullet"/>
      <w:lvlText w:val=""/>
      <w:lvlJc w:val="left"/>
      <w:pPr>
        <w:tabs>
          <w:tab w:val="num" w:pos="2630"/>
        </w:tabs>
        <w:ind w:left="1988" w:hanging="284"/>
      </w:pPr>
      <w:rPr>
        <w:rFonts w:ascii="Symbol" w:hAnsi="Symbol" w:hint="default"/>
      </w:rPr>
    </w:lvl>
    <w:lvl w:ilvl="7">
      <w:start w:val="1"/>
      <w:numFmt w:val="bullet"/>
      <w:lvlText w:val="o"/>
      <w:lvlJc w:val="left"/>
      <w:pPr>
        <w:tabs>
          <w:tab w:val="num" w:pos="2914"/>
        </w:tabs>
        <w:ind w:left="2272" w:hanging="284"/>
      </w:pPr>
      <w:rPr>
        <w:rFonts w:ascii="Courier New" w:hAnsi="Courier New" w:cs="Courier New" w:hint="default"/>
      </w:rPr>
    </w:lvl>
    <w:lvl w:ilvl="8">
      <w:start w:val="1"/>
      <w:numFmt w:val="bullet"/>
      <w:lvlText w:val=""/>
      <w:lvlJc w:val="left"/>
      <w:pPr>
        <w:tabs>
          <w:tab w:val="num" w:pos="3198"/>
        </w:tabs>
        <w:ind w:left="2556" w:hanging="284"/>
      </w:pPr>
      <w:rPr>
        <w:rFonts w:ascii="Wingdings" w:hAnsi="Wingdings" w:hint="default"/>
      </w:rPr>
    </w:lvl>
  </w:abstractNum>
  <w:abstractNum w:abstractNumId="14" w15:restartNumberingAfterBreak="0">
    <w:nsid w:val="47252590"/>
    <w:multiLevelType w:val="hybridMultilevel"/>
    <w:tmpl w:val="9824468C"/>
    <w:lvl w:ilvl="0" w:tplc="0CA0A1F2">
      <w:start w:val="1"/>
      <w:numFmt w:val="lowerRoman"/>
      <w:lvlText w:val="(%1)"/>
      <w:lvlJc w:val="right"/>
      <w:pPr>
        <w:ind w:left="1080" w:hanging="360"/>
      </w:pPr>
      <w:rPr>
        <w:rFonts w:hint="default"/>
        <w:b w:val="0"/>
        <w:bCs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272509"/>
    <w:multiLevelType w:val="hybridMultilevel"/>
    <w:tmpl w:val="EAD47D30"/>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5152E1"/>
    <w:multiLevelType w:val="hybridMultilevel"/>
    <w:tmpl w:val="C15A2EAC"/>
    <w:lvl w:ilvl="0" w:tplc="AC46910C">
      <w:start w:val="1"/>
      <w:numFmt w:val="bullet"/>
      <w:lvlText w:val=""/>
      <w:lvlJc w:val="left"/>
      <w:pPr>
        <w:ind w:left="1080" w:hanging="360"/>
      </w:pPr>
      <w:rPr>
        <w:rFonts w:ascii="Symbol" w:hAnsi="Symbol"/>
      </w:rPr>
    </w:lvl>
    <w:lvl w:ilvl="1" w:tplc="D4FC3F00">
      <w:start w:val="1"/>
      <w:numFmt w:val="bullet"/>
      <w:lvlText w:val=""/>
      <w:lvlJc w:val="left"/>
      <w:pPr>
        <w:ind w:left="1800" w:hanging="360"/>
      </w:pPr>
      <w:rPr>
        <w:rFonts w:ascii="Symbol" w:hAnsi="Symbol"/>
      </w:rPr>
    </w:lvl>
    <w:lvl w:ilvl="2" w:tplc="BC18537A">
      <w:start w:val="1"/>
      <w:numFmt w:val="bullet"/>
      <w:lvlText w:val=""/>
      <w:lvlJc w:val="left"/>
      <w:pPr>
        <w:ind w:left="1080" w:hanging="360"/>
      </w:pPr>
      <w:rPr>
        <w:rFonts w:ascii="Symbol" w:hAnsi="Symbol"/>
      </w:rPr>
    </w:lvl>
    <w:lvl w:ilvl="3" w:tplc="F070A26A">
      <w:start w:val="1"/>
      <w:numFmt w:val="bullet"/>
      <w:lvlText w:val=""/>
      <w:lvlJc w:val="left"/>
      <w:pPr>
        <w:ind w:left="1080" w:hanging="360"/>
      </w:pPr>
      <w:rPr>
        <w:rFonts w:ascii="Symbol" w:hAnsi="Symbol"/>
      </w:rPr>
    </w:lvl>
    <w:lvl w:ilvl="4" w:tplc="49469346">
      <w:start w:val="1"/>
      <w:numFmt w:val="bullet"/>
      <w:lvlText w:val=""/>
      <w:lvlJc w:val="left"/>
      <w:pPr>
        <w:ind w:left="1080" w:hanging="360"/>
      </w:pPr>
      <w:rPr>
        <w:rFonts w:ascii="Symbol" w:hAnsi="Symbol"/>
      </w:rPr>
    </w:lvl>
    <w:lvl w:ilvl="5" w:tplc="5C28F32A">
      <w:start w:val="1"/>
      <w:numFmt w:val="bullet"/>
      <w:lvlText w:val=""/>
      <w:lvlJc w:val="left"/>
      <w:pPr>
        <w:ind w:left="1080" w:hanging="360"/>
      </w:pPr>
      <w:rPr>
        <w:rFonts w:ascii="Symbol" w:hAnsi="Symbol"/>
      </w:rPr>
    </w:lvl>
    <w:lvl w:ilvl="6" w:tplc="59C687BE">
      <w:start w:val="1"/>
      <w:numFmt w:val="bullet"/>
      <w:lvlText w:val=""/>
      <w:lvlJc w:val="left"/>
      <w:pPr>
        <w:ind w:left="1080" w:hanging="360"/>
      </w:pPr>
      <w:rPr>
        <w:rFonts w:ascii="Symbol" w:hAnsi="Symbol"/>
      </w:rPr>
    </w:lvl>
    <w:lvl w:ilvl="7" w:tplc="0E424064">
      <w:start w:val="1"/>
      <w:numFmt w:val="bullet"/>
      <w:lvlText w:val=""/>
      <w:lvlJc w:val="left"/>
      <w:pPr>
        <w:ind w:left="1080" w:hanging="360"/>
      </w:pPr>
      <w:rPr>
        <w:rFonts w:ascii="Symbol" w:hAnsi="Symbol"/>
      </w:rPr>
    </w:lvl>
    <w:lvl w:ilvl="8" w:tplc="8F60B8BC">
      <w:start w:val="1"/>
      <w:numFmt w:val="bullet"/>
      <w:lvlText w:val=""/>
      <w:lvlJc w:val="left"/>
      <w:pPr>
        <w:ind w:left="1080" w:hanging="360"/>
      </w:pPr>
      <w:rPr>
        <w:rFonts w:ascii="Symbol" w:hAnsi="Symbol"/>
      </w:rPr>
    </w:lvl>
  </w:abstractNum>
  <w:abstractNum w:abstractNumId="17" w15:restartNumberingAfterBreak="0">
    <w:nsid w:val="4CCD165B"/>
    <w:multiLevelType w:val="hybridMultilevel"/>
    <w:tmpl w:val="118CA638"/>
    <w:lvl w:ilvl="0" w:tplc="56F20754">
      <w:start w:val="1"/>
      <w:numFmt w:val="decimal"/>
      <w:lvlText w:val="%1."/>
      <w:lvlJc w:val="left"/>
      <w:pPr>
        <w:ind w:left="360" w:hanging="360"/>
      </w:pPr>
      <w:rPr>
        <w:b w:val="0"/>
        <w:bCs w:val="0"/>
        <w:color w:val="auto"/>
        <w:sz w:val="22"/>
        <w:szCs w:val="22"/>
      </w:rPr>
    </w:lvl>
    <w:lvl w:ilvl="1" w:tplc="9B349F9E">
      <w:start w:val="1"/>
      <w:numFmt w:val="bullet"/>
      <w:lvlText w:val=""/>
      <w:lvlJc w:val="left"/>
      <w:pPr>
        <w:ind w:left="6390" w:hanging="360"/>
      </w:pPr>
      <w:rPr>
        <w:rFonts w:ascii="Symbol" w:hAnsi="Symbol" w:hint="default"/>
      </w:rPr>
    </w:lvl>
    <w:lvl w:ilvl="2" w:tplc="FBBCF90C">
      <w:numFmt w:val="bullet"/>
      <w:lvlText w:val="-"/>
      <w:lvlJc w:val="left"/>
      <w:pPr>
        <w:ind w:left="7290" w:hanging="360"/>
      </w:pPr>
      <w:rPr>
        <w:rFonts w:ascii="Calibri" w:eastAsiaTheme="minorHAnsi" w:hAnsi="Calibri" w:cs="Calibri" w:hint="default"/>
      </w:rPr>
    </w:lvl>
    <w:lvl w:ilvl="3" w:tplc="DAFA4612" w:tentative="1">
      <w:start w:val="1"/>
      <w:numFmt w:val="decimal"/>
      <w:lvlText w:val="%4."/>
      <w:lvlJc w:val="left"/>
      <w:pPr>
        <w:ind w:left="7830" w:hanging="360"/>
      </w:pPr>
    </w:lvl>
    <w:lvl w:ilvl="4" w:tplc="951E0736" w:tentative="1">
      <w:start w:val="1"/>
      <w:numFmt w:val="lowerLetter"/>
      <w:lvlText w:val="%5."/>
      <w:lvlJc w:val="left"/>
      <w:pPr>
        <w:ind w:left="8550" w:hanging="360"/>
      </w:pPr>
    </w:lvl>
    <w:lvl w:ilvl="5" w:tplc="233AD906" w:tentative="1">
      <w:start w:val="1"/>
      <w:numFmt w:val="lowerRoman"/>
      <w:lvlText w:val="%6."/>
      <w:lvlJc w:val="right"/>
      <w:pPr>
        <w:ind w:left="9270" w:hanging="180"/>
      </w:pPr>
    </w:lvl>
    <w:lvl w:ilvl="6" w:tplc="622CA394" w:tentative="1">
      <w:start w:val="1"/>
      <w:numFmt w:val="decimal"/>
      <w:lvlText w:val="%7."/>
      <w:lvlJc w:val="left"/>
      <w:pPr>
        <w:ind w:left="9990" w:hanging="360"/>
      </w:pPr>
    </w:lvl>
    <w:lvl w:ilvl="7" w:tplc="05B0B42C" w:tentative="1">
      <w:start w:val="1"/>
      <w:numFmt w:val="lowerLetter"/>
      <w:lvlText w:val="%8."/>
      <w:lvlJc w:val="left"/>
      <w:pPr>
        <w:ind w:left="10710" w:hanging="360"/>
      </w:pPr>
    </w:lvl>
    <w:lvl w:ilvl="8" w:tplc="8F949102" w:tentative="1">
      <w:start w:val="1"/>
      <w:numFmt w:val="lowerRoman"/>
      <w:lvlText w:val="%9."/>
      <w:lvlJc w:val="right"/>
      <w:pPr>
        <w:ind w:left="11430" w:hanging="180"/>
      </w:pPr>
    </w:lvl>
  </w:abstractNum>
  <w:abstractNum w:abstractNumId="18" w15:restartNumberingAfterBreak="0">
    <w:nsid w:val="4F926A09"/>
    <w:multiLevelType w:val="multilevel"/>
    <w:tmpl w:val="99F01D82"/>
    <w:lvl w:ilvl="0">
      <w:start w:val="1"/>
      <w:numFmt w:val="bullet"/>
      <w:pStyle w:val="TableListBullet"/>
      <w:lvlText w:val=""/>
      <w:lvlJc w:val="left"/>
      <w:pPr>
        <w:ind w:left="284" w:hanging="284"/>
      </w:pPr>
      <w:rPr>
        <w:rFonts w:ascii="Symbol" w:hAnsi="Symbol" w:hint="default"/>
        <w:color w:val="auto"/>
      </w:rPr>
    </w:lvl>
    <w:lvl w:ilvl="1">
      <w:start w:val="1"/>
      <w:numFmt w:val="bullet"/>
      <w:pStyle w:val="TableListBullet2"/>
      <w:lvlText w:val="─"/>
      <w:lvlJc w:val="left"/>
      <w:pPr>
        <w:ind w:left="568" w:hanging="284"/>
      </w:pPr>
      <w:rPr>
        <w:rFonts w:ascii="Calibri" w:hAnsi="Calibri" w:hint="default"/>
        <w:color w:val="auto"/>
      </w:rPr>
    </w:lvl>
    <w:lvl w:ilvl="2">
      <w:start w:val="1"/>
      <w:numFmt w:val="bullet"/>
      <w:pStyle w:val="TableListBullet3"/>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
      <w:lvlJc w:val="left"/>
      <w:pPr>
        <w:ind w:left="2556" w:hanging="284"/>
      </w:pPr>
      <w:rPr>
        <w:rFonts w:ascii="Wingdings" w:hAnsi="Wingdings" w:hint="default"/>
      </w:rPr>
    </w:lvl>
  </w:abstractNum>
  <w:abstractNum w:abstractNumId="19" w15:restartNumberingAfterBreak="0">
    <w:nsid w:val="50BA2825"/>
    <w:multiLevelType w:val="hybridMultilevel"/>
    <w:tmpl w:val="C1AEAB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5295729"/>
    <w:multiLevelType w:val="multilevel"/>
    <w:tmpl w:val="D5B2BAD8"/>
    <w:styleLink w:val="Geerli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006055"/>
    <w:multiLevelType w:val="hybridMultilevel"/>
    <w:tmpl w:val="A5BC8C00"/>
    <w:lvl w:ilvl="0" w:tplc="041F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E7A48D4"/>
    <w:multiLevelType w:val="hybridMultilevel"/>
    <w:tmpl w:val="42FE7DBA"/>
    <w:lvl w:ilvl="0" w:tplc="041F0005">
      <w:start w:val="1"/>
      <w:numFmt w:val="bullet"/>
      <w:lvlText w:val=""/>
      <w:lvlJc w:val="left"/>
      <w:pPr>
        <w:ind w:left="960" w:hanging="360"/>
      </w:pPr>
      <w:rPr>
        <w:rFonts w:ascii="Wingdings" w:hAnsi="Wingdings"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5EF400E1"/>
    <w:multiLevelType w:val="multilevel"/>
    <w:tmpl w:val="BB68225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58C71BC"/>
    <w:multiLevelType w:val="multilevel"/>
    <w:tmpl w:val="4CBE6DC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807EDA"/>
    <w:multiLevelType w:val="hybridMultilevel"/>
    <w:tmpl w:val="FD321D2E"/>
    <w:lvl w:ilvl="0" w:tplc="2ADA551A">
      <w:start w:val="1"/>
      <w:numFmt w:val="lowerLetter"/>
      <w:lvlText w:val="(%1)"/>
      <w:lvlJc w:val="left"/>
      <w:pPr>
        <w:ind w:left="994" w:hanging="360"/>
      </w:pPr>
      <w:rPr>
        <w:rFonts w:ascii="Calibri" w:hAnsi="Calibri" w:hint="default"/>
        <w:b w:val="0"/>
        <w:bCs w:val="0"/>
        <w:i w:val="0"/>
        <w:color w:val="0D0D0D"/>
        <w:sz w:val="22"/>
      </w:rPr>
    </w:lvl>
    <w:lvl w:ilvl="1" w:tplc="5A04C7C0" w:tentative="1">
      <w:start w:val="1"/>
      <w:numFmt w:val="lowerLetter"/>
      <w:lvlText w:val="%2."/>
      <w:lvlJc w:val="left"/>
      <w:pPr>
        <w:ind w:left="1714" w:hanging="360"/>
      </w:pPr>
    </w:lvl>
    <w:lvl w:ilvl="2" w:tplc="91B43B50" w:tentative="1">
      <w:start w:val="1"/>
      <w:numFmt w:val="lowerRoman"/>
      <w:lvlText w:val="%3."/>
      <w:lvlJc w:val="right"/>
      <w:pPr>
        <w:ind w:left="2434" w:hanging="180"/>
      </w:pPr>
    </w:lvl>
    <w:lvl w:ilvl="3" w:tplc="FFA617BE" w:tentative="1">
      <w:start w:val="1"/>
      <w:numFmt w:val="decimal"/>
      <w:lvlText w:val="%4."/>
      <w:lvlJc w:val="left"/>
      <w:pPr>
        <w:ind w:left="3154" w:hanging="360"/>
      </w:pPr>
    </w:lvl>
    <w:lvl w:ilvl="4" w:tplc="2F02AA22" w:tentative="1">
      <w:start w:val="1"/>
      <w:numFmt w:val="lowerLetter"/>
      <w:lvlText w:val="%5."/>
      <w:lvlJc w:val="left"/>
      <w:pPr>
        <w:ind w:left="3874" w:hanging="360"/>
      </w:pPr>
    </w:lvl>
    <w:lvl w:ilvl="5" w:tplc="489E60D8" w:tentative="1">
      <w:start w:val="1"/>
      <w:numFmt w:val="lowerRoman"/>
      <w:lvlText w:val="%6."/>
      <w:lvlJc w:val="right"/>
      <w:pPr>
        <w:ind w:left="4594" w:hanging="180"/>
      </w:pPr>
    </w:lvl>
    <w:lvl w:ilvl="6" w:tplc="D56E628C" w:tentative="1">
      <w:start w:val="1"/>
      <w:numFmt w:val="decimal"/>
      <w:lvlText w:val="%7."/>
      <w:lvlJc w:val="left"/>
      <w:pPr>
        <w:ind w:left="5314" w:hanging="360"/>
      </w:pPr>
    </w:lvl>
    <w:lvl w:ilvl="7" w:tplc="EC507270" w:tentative="1">
      <w:start w:val="1"/>
      <w:numFmt w:val="lowerLetter"/>
      <w:lvlText w:val="%8."/>
      <w:lvlJc w:val="left"/>
      <w:pPr>
        <w:ind w:left="6034" w:hanging="360"/>
      </w:pPr>
    </w:lvl>
    <w:lvl w:ilvl="8" w:tplc="998E851A" w:tentative="1">
      <w:start w:val="1"/>
      <w:numFmt w:val="lowerRoman"/>
      <w:lvlText w:val="%9."/>
      <w:lvlJc w:val="right"/>
      <w:pPr>
        <w:ind w:left="6754" w:hanging="180"/>
      </w:pPr>
    </w:lvl>
  </w:abstractNum>
  <w:abstractNum w:abstractNumId="26" w15:restartNumberingAfterBreak="0">
    <w:nsid w:val="73E2049D"/>
    <w:multiLevelType w:val="hybridMultilevel"/>
    <w:tmpl w:val="50D6A420"/>
    <w:lvl w:ilvl="0" w:tplc="63A8C40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2545FA"/>
    <w:multiLevelType w:val="hybridMultilevel"/>
    <w:tmpl w:val="4CD85E1A"/>
    <w:lvl w:ilvl="0" w:tplc="0CA0A1F2">
      <w:start w:val="1"/>
      <w:numFmt w:val="lowerRoman"/>
      <w:lvlText w:val="(%1)"/>
      <w:lvlJc w:val="right"/>
      <w:pPr>
        <w:ind w:left="1080" w:hanging="360"/>
      </w:pPr>
      <w:rPr>
        <w:rFonts w:hint="default"/>
        <w:b w:val="0"/>
        <w:bCs w:val="0"/>
        <w:color w:val="auto"/>
      </w:rPr>
    </w:lvl>
    <w:lvl w:ilvl="1" w:tplc="72164854">
      <w:start w:val="1"/>
      <w:numFmt w:val="lowerRoman"/>
      <w:lvlText w:val="%2."/>
      <w:lvlJc w:val="right"/>
      <w:pPr>
        <w:ind w:left="1800" w:hanging="360"/>
      </w:pPr>
      <w:rPr>
        <w:b w:val="0"/>
        <w:bCs w:val="0"/>
        <w:color w:val="auto"/>
      </w:rPr>
    </w:lvl>
    <w:lvl w:ilvl="2" w:tplc="291203E4">
      <w:start w:val="1"/>
      <w:numFmt w:val="bullet"/>
      <w:lvlText w:val="-"/>
      <w:lvlJc w:val="left"/>
      <w:pPr>
        <w:ind w:left="2520" w:hanging="360"/>
      </w:pPr>
      <w:rPr>
        <w:rFonts w:ascii="Calibri" w:hAnsi="Calibri" w:hint="default"/>
      </w:rPr>
    </w:lvl>
    <w:lvl w:ilvl="3" w:tplc="A2E01180">
      <w:start w:val="1"/>
      <w:numFmt w:val="bullet"/>
      <w:lvlText w:val=""/>
      <w:lvlJc w:val="left"/>
      <w:pPr>
        <w:ind w:left="3240" w:hanging="360"/>
      </w:pPr>
      <w:rPr>
        <w:rFonts w:ascii="Symbol" w:hAnsi="Symbol" w:hint="default"/>
      </w:rPr>
    </w:lvl>
    <w:lvl w:ilvl="4" w:tplc="BB86B396" w:tentative="1">
      <w:start w:val="1"/>
      <w:numFmt w:val="bullet"/>
      <w:lvlText w:val="o"/>
      <w:lvlJc w:val="left"/>
      <w:pPr>
        <w:ind w:left="3960" w:hanging="360"/>
      </w:pPr>
      <w:rPr>
        <w:rFonts w:ascii="Courier New" w:hAnsi="Courier New" w:cs="Courier New" w:hint="default"/>
      </w:rPr>
    </w:lvl>
    <w:lvl w:ilvl="5" w:tplc="F57E63DA" w:tentative="1">
      <w:start w:val="1"/>
      <w:numFmt w:val="bullet"/>
      <w:lvlText w:val=""/>
      <w:lvlJc w:val="left"/>
      <w:pPr>
        <w:ind w:left="4680" w:hanging="360"/>
      </w:pPr>
      <w:rPr>
        <w:rFonts w:ascii="Wingdings" w:hAnsi="Wingdings" w:hint="default"/>
      </w:rPr>
    </w:lvl>
    <w:lvl w:ilvl="6" w:tplc="37727436" w:tentative="1">
      <w:start w:val="1"/>
      <w:numFmt w:val="bullet"/>
      <w:lvlText w:val=""/>
      <w:lvlJc w:val="left"/>
      <w:pPr>
        <w:ind w:left="5400" w:hanging="360"/>
      </w:pPr>
      <w:rPr>
        <w:rFonts w:ascii="Symbol" w:hAnsi="Symbol" w:hint="default"/>
      </w:rPr>
    </w:lvl>
    <w:lvl w:ilvl="7" w:tplc="A67E9BE2" w:tentative="1">
      <w:start w:val="1"/>
      <w:numFmt w:val="bullet"/>
      <w:lvlText w:val="o"/>
      <w:lvlJc w:val="left"/>
      <w:pPr>
        <w:ind w:left="6120" w:hanging="360"/>
      </w:pPr>
      <w:rPr>
        <w:rFonts w:ascii="Courier New" w:hAnsi="Courier New" w:cs="Courier New" w:hint="default"/>
      </w:rPr>
    </w:lvl>
    <w:lvl w:ilvl="8" w:tplc="B3B6EC66" w:tentative="1">
      <w:start w:val="1"/>
      <w:numFmt w:val="bullet"/>
      <w:lvlText w:val=""/>
      <w:lvlJc w:val="left"/>
      <w:pPr>
        <w:ind w:left="6840" w:hanging="360"/>
      </w:pPr>
      <w:rPr>
        <w:rFonts w:ascii="Wingdings" w:hAnsi="Wingdings" w:hint="default"/>
      </w:rPr>
    </w:lvl>
  </w:abstractNum>
  <w:abstractNum w:abstractNumId="28" w15:restartNumberingAfterBreak="0">
    <w:nsid w:val="7D0737D8"/>
    <w:multiLevelType w:val="hybridMultilevel"/>
    <w:tmpl w:val="1F4044C2"/>
    <w:lvl w:ilvl="0" w:tplc="3672FAE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0"/>
  </w:num>
  <w:num w:numId="4">
    <w:abstractNumId w:val="24"/>
  </w:num>
  <w:num w:numId="5">
    <w:abstractNumId w:val="13"/>
  </w:num>
  <w:num w:numId="6">
    <w:abstractNumId w:val="18"/>
  </w:num>
  <w:num w:numId="7">
    <w:abstractNumId w:val="22"/>
  </w:num>
  <w:num w:numId="8">
    <w:abstractNumId w:val="26"/>
  </w:num>
  <w:num w:numId="9">
    <w:abstractNumId w:val="21"/>
  </w:num>
  <w:num w:numId="10">
    <w:abstractNumId w:val="11"/>
  </w:num>
  <w:num w:numId="11">
    <w:abstractNumId w:val="4"/>
  </w:num>
  <w:num w:numId="12">
    <w:abstractNumId w:val="19"/>
  </w:num>
  <w:num w:numId="13">
    <w:abstractNumId w:val="12"/>
  </w:num>
  <w:num w:numId="14">
    <w:abstractNumId w:val="9"/>
  </w:num>
  <w:num w:numId="15">
    <w:abstractNumId w:val="16"/>
  </w:num>
  <w:num w:numId="16">
    <w:abstractNumId w:val="0"/>
  </w:num>
  <w:num w:numId="17">
    <w:abstractNumId w:val="6"/>
  </w:num>
  <w:num w:numId="18">
    <w:abstractNumId w:val="15"/>
  </w:num>
  <w:num w:numId="19">
    <w:abstractNumId w:val="28"/>
  </w:num>
  <w:num w:numId="20">
    <w:abstractNumId w:val="17"/>
  </w:num>
  <w:num w:numId="21">
    <w:abstractNumId w:val="25"/>
  </w:num>
  <w:num w:numId="22">
    <w:abstractNumId w:val="27"/>
  </w:num>
  <w:num w:numId="23">
    <w:abstractNumId w:val="7"/>
  </w:num>
  <w:num w:numId="24">
    <w:abstractNumId w:val="14"/>
  </w:num>
  <w:num w:numId="25">
    <w:abstractNumId w:val="5"/>
  </w:num>
  <w:num w:numId="26">
    <w:abstractNumId w:val="23"/>
  </w:num>
  <w:num w:numId="27">
    <w:abstractNumId w:val="8"/>
  </w:num>
  <w:num w:numId="28">
    <w:abstractNumId w:val="3"/>
  </w:num>
  <w:num w:numId="2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zal Babur">
    <w15:presenceInfo w15:providerId="None" w15:userId="Hazal Bab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c1NjI3tDQxtjAxM7JQ0lEKTi0uzszPAykwrQUA+6k7AiwAAAA="/>
  </w:docVars>
  <w:rsids>
    <w:rsidRoot w:val="00F72E1E"/>
    <w:rsid w:val="0000363E"/>
    <w:rsid w:val="00003EB0"/>
    <w:rsid w:val="00004FBA"/>
    <w:rsid w:val="000068A7"/>
    <w:rsid w:val="00007B1B"/>
    <w:rsid w:val="000111B3"/>
    <w:rsid w:val="00011B2E"/>
    <w:rsid w:val="000128B8"/>
    <w:rsid w:val="00013486"/>
    <w:rsid w:val="000137E7"/>
    <w:rsid w:val="000147BC"/>
    <w:rsid w:val="000166A5"/>
    <w:rsid w:val="00016C0B"/>
    <w:rsid w:val="00021567"/>
    <w:rsid w:val="00021DBF"/>
    <w:rsid w:val="00022E73"/>
    <w:rsid w:val="000246DA"/>
    <w:rsid w:val="00025423"/>
    <w:rsid w:val="000260EA"/>
    <w:rsid w:val="00027386"/>
    <w:rsid w:val="0002788E"/>
    <w:rsid w:val="0003010A"/>
    <w:rsid w:val="00030BA4"/>
    <w:rsid w:val="00030E35"/>
    <w:rsid w:val="00031C52"/>
    <w:rsid w:val="00032940"/>
    <w:rsid w:val="00032AAC"/>
    <w:rsid w:val="000341EE"/>
    <w:rsid w:val="00034AA4"/>
    <w:rsid w:val="00036187"/>
    <w:rsid w:val="00037069"/>
    <w:rsid w:val="0003742F"/>
    <w:rsid w:val="00040AEC"/>
    <w:rsid w:val="0004138D"/>
    <w:rsid w:val="00042D67"/>
    <w:rsid w:val="000435BF"/>
    <w:rsid w:val="00047BE6"/>
    <w:rsid w:val="00047FD0"/>
    <w:rsid w:val="00054279"/>
    <w:rsid w:val="00056529"/>
    <w:rsid w:val="0005677E"/>
    <w:rsid w:val="00057F79"/>
    <w:rsid w:val="000630CE"/>
    <w:rsid w:val="00064366"/>
    <w:rsid w:val="0006488C"/>
    <w:rsid w:val="00070184"/>
    <w:rsid w:val="00070AC0"/>
    <w:rsid w:val="00070D40"/>
    <w:rsid w:val="00071155"/>
    <w:rsid w:val="00073921"/>
    <w:rsid w:val="00073C98"/>
    <w:rsid w:val="00074529"/>
    <w:rsid w:val="00074D79"/>
    <w:rsid w:val="00076913"/>
    <w:rsid w:val="00081403"/>
    <w:rsid w:val="0008157E"/>
    <w:rsid w:val="0008214A"/>
    <w:rsid w:val="00083BBE"/>
    <w:rsid w:val="0008492B"/>
    <w:rsid w:val="00084C80"/>
    <w:rsid w:val="000851F2"/>
    <w:rsid w:val="00085DC9"/>
    <w:rsid w:val="00085E26"/>
    <w:rsid w:val="00086417"/>
    <w:rsid w:val="00086E26"/>
    <w:rsid w:val="00090410"/>
    <w:rsid w:val="00091D26"/>
    <w:rsid w:val="00091E32"/>
    <w:rsid w:val="00093001"/>
    <w:rsid w:val="00093CDA"/>
    <w:rsid w:val="000940A5"/>
    <w:rsid w:val="0009456A"/>
    <w:rsid w:val="00094578"/>
    <w:rsid w:val="000947AB"/>
    <w:rsid w:val="00094B1A"/>
    <w:rsid w:val="00094BB9"/>
    <w:rsid w:val="000A079E"/>
    <w:rsid w:val="000A10DE"/>
    <w:rsid w:val="000A18AA"/>
    <w:rsid w:val="000A2417"/>
    <w:rsid w:val="000A3BCC"/>
    <w:rsid w:val="000A453D"/>
    <w:rsid w:val="000A5FAB"/>
    <w:rsid w:val="000A61CC"/>
    <w:rsid w:val="000A6227"/>
    <w:rsid w:val="000A6440"/>
    <w:rsid w:val="000A6993"/>
    <w:rsid w:val="000A7196"/>
    <w:rsid w:val="000B26DB"/>
    <w:rsid w:val="000B29A3"/>
    <w:rsid w:val="000B311E"/>
    <w:rsid w:val="000B5D6B"/>
    <w:rsid w:val="000B73DD"/>
    <w:rsid w:val="000C02AE"/>
    <w:rsid w:val="000C04AB"/>
    <w:rsid w:val="000C1337"/>
    <w:rsid w:val="000C2917"/>
    <w:rsid w:val="000C38B5"/>
    <w:rsid w:val="000C3A2E"/>
    <w:rsid w:val="000C3AAD"/>
    <w:rsid w:val="000C3D46"/>
    <w:rsid w:val="000C4328"/>
    <w:rsid w:val="000C46FA"/>
    <w:rsid w:val="000C58FE"/>
    <w:rsid w:val="000C66BF"/>
    <w:rsid w:val="000C6F98"/>
    <w:rsid w:val="000C7FFD"/>
    <w:rsid w:val="000D02CA"/>
    <w:rsid w:val="000D15F9"/>
    <w:rsid w:val="000D324D"/>
    <w:rsid w:val="000D6219"/>
    <w:rsid w:val="000D639D"/>
    <w:rsid w:val="000D729B"/>
    <w:rsid w:val="000D7D27"/>
    <w:rsid w:val="000E12D6"/>
    <w:rsid w:val="000E1CDA"/>
    <w:rsid w:val="000E1F12"/>
    <w:rsid w:val="000E335A"/>
    <w:rsid w:val="000E3520"/>
    <w:rsid w:val="000F05F0"/>
    <w:rsid w:val="000F092C"/>
    <w:rsid w:val="000F17C7"/>
    <w:rsid w:val="000F31DD"/>
    <w:rsid w:val="000F37A0"/>
    <w:rsid w:val="000F535E"/>
    <w:rsid w:val="000F6545"/>
    <w:rsid w:val="00100324"/>
    <w:rsid w:val="001024D8"/>
    <w:rsid w:val="00104560"/>
    <w:rsid w:val="001050AC"/>
    <w:rsid w:val="001055A6"/>
    <w:rsid w:val="00106BF9"/>
    <w:rsid w:val="00111CD8"/>
    <w:rsid w:val="001145C5"/>
    <w:rsid w:val="001148C9"/>
    <w:rsid w:val="00115383"/>
    <w:rsid w:val="00116468"/>
    <w:rsid w:val="00117839"/>
    <w:rsid w:val="00117DED"/>
    <w:rsid w:val="00120464"/>
    <w:rsid w:val="00120FC1"/>
    <w:rsid w:val="00121663"/>
    <w:rsid w:val="00124E9C"/>
    <w:rsid w:val="00125430"/>
    <w:rsid w:val="00125F2D"/>
    <w:rsid w:val="00126E80"/>
    <w:rsid w:val="001302DF"/>
    <w:rsid w:val="00130567"/>
    <w:rsid w:val="00130C90"/>
    <w:rsid w:val="00130F6E"/>
    <w:rsid w:val="00132E71"/>
    <w:rsid w:val="00133CE3"/>
    <w:rsid w:val="001341E6"/>
    <w:rsid w:val="001342E5"/>
    <w:rsid w:val="00134AEF"/>
    <w:rsid w:val="00134F7F"/>
    <w:rsid w:val="001354C4"/>
    <w:rsid w:val="00136DE6"/>
    <w:rsid w:val="00141049"/>
    <w:rsid w:val="00141266"/>
    <w:rsid w:val="00141E8B"/>
    <w:rsid w:val="001441CC"/>
    <w:rsid w:val="00145D5E"/>
    <w:rsid w:val="00146363"/>
    <w:rsid w:val="00152337"/>
    <w:rsid w:val="00154C3D"/>
    <w:rsid w:val="001563C3"/>
    <w:rsid w:val="00157B0D"/>
    <w:rsid w:val="001607E0"/>
    <w:rsid w:val="00160815"/>
    <w:rsid w:val="001613C0"/>
    <w:rsid w:val="00161738"/>
    <w:rsid w:val="00162F0C"/>
    <w:rsid w:val="00163347"/>
    <w:rsid w:val="00163622"/>
    <w:rsid w:val="00164F30"/>
    <w:rsid w:val="0016530A"/>
    <w:rsid w:val="00167E18"/>
    <w:rsid w:val="001701A0"/>
    <w:rsid w:val="00170398"/>
    <w:rsid w:val="0017236F"/>
    <w:rsid w:val="00172E97"/>
    <w:rsid w:val="00173308"/>
    <w:rsid w:val="001746B5"/>
    <w:rsid w:val="001755F9"/>
    <w:rsid w:val="0017675A"/>
    <w:rsid w:val="0018242A"/>
    <w:rsid w:val="00182492"/>
    <w:rsid w:val="00183DF5"/>
    <w:rsid w:val="00184B53"/>
    <w:rsid w:val="001855B8"/>
    <w:rsid w:val="001860D6"/>
    <w:rsid w:val="00186BD7"/>
    <w:rsid w:val="00186C7D"/>
    <w:rsid w:val="00186CED"/>
    <w:rsid w:val="0018778B"/>
    <w:rsid w:val="0019027C"/>
    <w:rsid w:val="0019243F"/>
    <w:rsid w:val="00192A4F"/>
    <w:rsid w:val="00193300"/>
    <w:rsid w:val="0019350E"/>
    <w:rsid w:val="00193A11"/>
    <w:rsid w:val="00194627"/>
    <w:rsid w:val="00194D6F"/>
    <w:rsid w:val="001951DB"/>
    <w:rsid w:val="001962ED"/>
    <w:rsid w:val="0019656C"/>
    <w:rsid w:val="00196B8B"/>
    <w:rsid w:val="00197665"/>
    <w:rsid w:val="001A1584"/>
    <w:rsid w:val="001A25E7"/>
    <w:rsid w:val="001A4B7E"/>
    <w:rsid w:val="001A58DE"/>
    <w:rsid w:val="001A5CF7"/>
    <w:rsid w:val="001B15F2"/>
    <w:rsid w:val="001B2B3C"/>
    <w:rsid w:val="001B4001"/>
    <w:rsid w:val="001B4A37"/>
    <w:rsid w:val="001B71F1"/>
    <w:rsid w:val="001C217F"/>
    <w:rsid w:val="001C23AE"/>
    <w:rsid w:val="001C3EBD"/>
    <w:rsid w:val="001C46D0"/>
    <w:rsid w:val="001C4DCC"/>
    <w:rsid w:val="001C6E78"/>
    <w:rsid w:val="001D064F"/>
    <w:rsid w:val="001D228D"/>
    <w:rsid w:val="001D2B7B"/>
    <w:rsid w:val="001D5F5A"/>
    <w:rsid w:val="001D62B1"/>
    <w:rsid w:val="001D62FC"/>
    <w:rsid w:val="001D6D0E"/>
    <w:rsid w:val="001D741B"/>
    <w:rsid w:val="001D7625"/>
    <w:rsid w:val="001E0E0C"/>
    <w:rsid w:val="001E280E"/>
    <w:rsid w:val="001E2F02"/>
    <w:rsid w:val="001E3B7A"/>
    <w:rsid w:val="001E3D51"/>
    <w:rsid w:val="001E70A9"/>
    <w:rsid w:val="001F0105"/>
    <w:rsid w:val="001F0218"/>
    <w:rsid w:val="001F1400"/>
    <w:rsid w:val="001F42F4"/>
    <w:rsid w:val="002005DB"/>
    <w:rsid w:val="00201743"/>
    <w:rsid w:val="00201D67"/>
    <w:rsid w:val="00201DD6"/>
    <w:rsid w:val="00201FD1"/>
    <w:rsid w:val="002035BD"/>
    <w:rsid w:val="0020382C"/>
    <w:rsid w:val="00203BDC"/>
    <w:rsid w:val="00204A66"/>
    <w:rsid w:val="00204C5D"/>
    <w:rsid w:val="00204DFF"/>
    <w:rsid w:val="00205D85"/>
    <w:rsid w:val="002073C9"/>
    <w:rsid w:val="002103C5"/>
    <w:rsid w:val="0021043D"/>
    <w:rsid w:val="002124E7"/>
    <w:rsid w:val="002126BF"/>
    <w:rsid w:val="00212E9E"/>
    <w:rsid w:val="00213183"/>
    <w:rsid w:val="002133FA"/>
    <w:rsid w:val="00213CEE"/>
    <w:rsid w:val="002152AE"/>
    <w:rsid w:val="002155BB"/>
    <w:rsid w:val="0022016A"/>
    <w:rsid w:val="00220A31"/>
    <w:rsid w:val="00223AB0"/>
    <w:rsid w:val="002248DF"/>
    <w:rsid w:val="00226956"/>
    <w:rsid w:val="00227B0C"/>
    <w:rsid w:val="00230B8F"/>
    <w:rsid w:val="002310F0"/>
    <w:rsid w:val="00231369"/>
    <w:rsid w:val="0023198E"/>
    <w:rsid w:val="00231AA1"/>
    <w:rsid w:val="00233C60"/>
    <w:rsid w:val="00235200"/>
    <w:rsid w:val="00235936"/>
    <w:rsid w:val="002362B2"/>
    <w:rsid w:val="0023681F"/>
    <w:rsid w:val="00236F26"/>
    <w:rsid w:val="0024027E"/>
    <w:rsid w:val="002406EB"/>
    <w:rsid w:val="00240C5E"/>
    <w:rsid w:val="0024478A"/>
    <w:rsid w:val="00244891"/>
    <w:rsid w:val="00244F07"/>
    <w:rsid w:val="0024583A"/>
    <w:rsid w:val="00247061"/>
    <w:rsid w:val="0024717A"/>
    <w:rsid w:val="00247304"/>
    <w:rsid w:val="00247A7C"/>
    <w:rsid w:val="00247C7A"/>
    <w:rsid w:val="00247D10"/>
    <w:rsid w:val="0025190C"/>
    <w:rsid w:val="0025295C"/>
    <w:rsid w:val="00252DC7"/>
    <w:rsid w:val="002541B8"/>
    <w:rsid w:val="002568C2"/>
    <w:rsid w:val="00257000"/>
    <w:rsid w:val="00260C91"/>
    <w:rsid w:val="00261154"/>
    <w:rsid w:val="00261530"/>
    <w:rsid w:val="00261F86"/>
    <w:rsid w:val="0026302C"/>
    <w:rsid w:val="002642E6"/>
    <w:rsid w:val="00264A76"/>
    <w:rsid w:val="00264D6D"/>
    <w:rsid w:val="00265257"/>
    <w:rsid w:val="0026561E"/>
    <w:rsid w:val="002656E4"/>
    <w:rsid w:val="00266B9F"/>
    <w:rsid w:val="00270355"/>
    <w:rsid w:val="0027307B"/>
    <w:rsid w:val="00273294"/>
    <w:rsid w:val="00273356"/>
    <w:rsid w:val="00275CF6"/>
    <w:rsid w:val="00277706"/>
    <w:rsid w:val="00280443"/>
    <w:rsid w:val="00280512"/>
    <w:rsid w:val="002821A0"/>
    <w:rsid w:val="00284170"/>
    <w:rsid w:val="002852FB"/>
    <w:rsid w:val="0028540D"/>
    <w:rsid w:val="00285BB0"/>
    <w:rsid w:val="00285BC3"/>
    <w:rsid w:val="00286B19"/>
    <w:rsid w:val="00286CAC"/>
    <w:rsid w:val="002930C2"/>
    <w:rsid w:val="00294DBB"/>
    <w:rsid w:val="00295298"/>
    <w:rsid w:val="0029625E"/>
    <w:rsid w:val="002A0371"/>
    <w:rsid w:val="002A177F"/>
    <w:rsid w:val="002A18A5"/>
    <w:rsid w:val="002A2972"/>
    <w:rsid w:val="002A2D91"/>
    <w:rsid w:val="002A3999"/>
    <w:rsid w:val="002A3F48"/>
    <w:rsid w:val="002A4A2F"/>
    <w:rsid w:val="002A595B"/>
    <w:rsid w:val="002A64D3"/>
    <w:rsid w:val="002A6644"/>
    <w:rsid w:val="002A6B6F"/>
    <w:rsid w:val="002A7549"/>
    <w:rsid w:val="002B0117"/>
    <w:rsid w:val="002B045B"/>
    <w:rsid w:val="002B05E7"/>
    <w:rsid w:val="002B143D"/>
    <w:rsid w:val="002B160C"/>
    <w:rsid w:val="002B2772"/>
    <w:rsid w:val="002B3C9F"/>
    <w:rsid w:val="002B47DA"/>
    <w:rsid w:val="002B693E"/>
    <w:rsid w:val="002B7AA0"/>
    <w:rsid w:val="002B7B39"/>
    <w:rsid w:val="002C0280"/>
    <w:rsid w:val="002C25F8"/>
    <w:rsid w:val="002C2D53"/>
    <w:rsid w:val="002C36FA"/>
    <w:rsid w:val="002C5EB9"/>
    <w:rsid w:val="002C62DF"/>
    <w:rsid w:val="002C6A75"/>
    <w:rsid w:val="002C7F3E"/>
    <w:rsid w:val="002D0152"/>
    <w:rsid w:val="002D1787"/>
    <w:rsid w:val="002D2CB3"/>
    <w:rsid w:val="002D3F20"/>
    <w:rsid w:val="002D4236"/>
    <w:rsid w:val="002D48DC"/>
    <w:rsid w:val="002D62A6"/>
    <w:rsid w:val="002D72DE"/>
    <w:rsid w:val="002E14C1"/>
    <w:rsid w:val="002E1C69"/>
    <w:rsid w:val="002E232B"/>
    <w:rsid w:val="002E2481"/>
    <w:rsid w:val="002E38DF"/>
    <w:rsid w:val="002E58C4"/>
    <w:rsid w:val="002F0083"/>
    <w:rsid w:val="002F0C96"/>
    <w:rsid w:val="002F170F"/>
    <w:rsid w:val="002F1B2A"/>
    <w:rsid w:val="002F1D0C"/>
    <w:rsid w:val="002F3219"/>
    <w:rsid w:val="002F3FCC"/>
    <w:rsid w:val="002F51DE"/>
    <w:rsid w:val="002F5459"/>
    <w:rsid w:val="002F693E"/>
    <w:rsid w:val="002F7A38"/>
    <w:rsid w:val="002F7F02"/>
    <w:rsid w:val="0030303C"/>
    <w:rsid w:val="0030332E"/>
    <w:rsid w:val="00305C1D"/>
    <w:rsid w:val="00305C20"/>
    <w:rsid w:val="00305FBA"/>
    <w:rsid w:val="00307461"/>
    <w:rsid w:val="00307E56"/>
    <w:rsid w:val="00307E5D"/>
    <w:rsid w:val="00310241"/>
    <w:rsid w:val="00310264"/>
    <w:rsid w:val="003122F5"/>
    <w:rsid w:val="00312765"/>
    <w:rsid w:val="0031351E"/>
    <w:rsid w:val="003145D2"/>
    <w:rsid w:val="003203B1"/>
    <w:rsid w:val="003222C4"/>
    <w:rsid w:val="003223F1"/>
    <w:rsid w:val="00322990"/>
    <w:rsid w:val="003229B4"/>
    <w:rsid w:val="00323297"/>
    <w:rsid w:val="0032341D"/>
    <w:rsid w:val="00325F6D"/>
    <w:rsid w:val="00326633"/>
    <w:rsid w:val="00326F13"/>
    <w:rsid w:val="0033074C"/>
    <w:rsid w:val="00330CBF"/>
    <w:rsid w:val="0033318A"/>
    <w:rsid w:val="00334E52"/>
    <w:rsid w:val="003350E1"/>
    <w:rsid w:val="00335EBC"/>
    <w:rsid w:val="00336C9E"/>
    <w:rsid w:val="00336D35"/>
    <w:rsid w:val="0033732E"/>
    <w:rsid w:val="003401AE"/>
    <w:rsid w:val="00341144"/>
    <w:rsid w:val="00341FE5"/>
    <w:rsid w:val="00343F86"/>
    <w:rsid w:val="003456C7"/>
    <w:rsid w:val="00345C3C"/>
    <w:rsid w:val="0034657C"/>
    <w:rsid w:val="00346753"/>
    <w:rsid w:val="00351F18"/>
    <w:rsid w:val="00352F78"/>
    <w:rsid w:val="00353560"/>
    <w:rsid w:val="00354A6B"/>
    <w:rsid w:val="0035587A"/>
    <w:rsid w:val="00356C6C"/>
    <w:rsid w:val="00362025"/>
    <w:rsid w:val="003620ED"/>
    <w:rsid w:val="00362593"/>
    <w:rsid w:val="00364604"/>
    <w:rsid w:val="00364D59"/>
    <w:rsid w:val="0036671E"/>
    <w:rsid w:val="0036727A"/>
    <w:rsid w:val="00370377"/>
    <w:rsid w:val="00371A04"/>
    <w:rsid w:val="00371EA5"/>
    <w:rsid w:val="003726AF"/>
    <w:rsid w:val="00372D8D"/>
    <w:rsid w:val="00373CBB"/>
    <w:rsid w:val="00374D8F"/>
    <w:rsid w:val="0037507F"/>
    <w:rsid w:val="0037543A"/>
    <w:rsid w:val="00375526"/>
    <w:rsid w:val="00375D71"/>
    <w:rsid w:val="00377649"/>
    <w:rsid w:val="00377DD3"/>
    <w:rsid w:val="00380091"/>
    <w:rsid w:val="00380B8D"/>
    <w:rsid w:val="00381F41"/>
    <w:rsid w:val="003829A3"/>
    <w:rsid w:val="00382C83"/>
    <w:rsid w:val="00383481"/>
    <w:rsid w:val="00383E3E"/>
    <w:rsid w:val="00390725"/>
    <w:rsid w:val="00391833"/>
    <w:rsid w:val="00392A8B"/>
    <w:rsid w:val="00392AA0"/>
    <w:rsid w:val="00392B2E"/>
    <w:rsid w:val="00394967"/>
    <w:rsid w:val="00394E83"/>
    <w:rsid w:val="003967CB"/>
    <w:rsid w:val="00396D72"/>
    <w:rsid w:val="003976C7"/>
    <w:rsid w:val="003A0281"/>
    <w:rsid w:val="003A0ED4"/>
    <w:rsid w:val="003A14E8"/>
    <w:rsid w:val="003A254B"/>
    <w:rsid w:val="003A2DD3"/>
    <w:rsid w:val="003A333D"/>
    <w:rsid w:val="003A34D8"/>
    <w:rsid w:val="003A39D0"/>
    <w:rsid w:val="003A406F"/>
    <w:rsid w:val="003A7838"/>
    <w:rsid w:val="003A78F0"/>
    <w:rsid w:val="003B0297"/>
    <w:rsid w:val="003B52A5"/>
    <w:rsid w:val="003C0189"/>
    <w:rsid w:val="003C0420"/>
    <w:rsid w:val="003C2C32"/>
    <w:rsid w:val="003C30A7"/>
    <w:rsid w:val="003C321A"/>
    <w:rsid w:val="003C3EA3"/>
    <w:rsid w:val="003C3EAB"/>
    <w:rsid w:val="003C4EB6"/>
    <w:rsid w:val="003C544D"/>
    <w:rsid w:val="003C6036"/>
    <w:rsid w:val="003C7627"/>
    <w:rsid w:val="003C77F4"/>
    <w:rsid w:val="003D0281"/>
    <w:rsid w:val="003D09C2"/>
    <w:rsid w:val="003D1E85"/>
    <w:rsid w:val="003D1FB7"/>
    <w:rsid w:val="003D2AE9"/>
    <w:rsid w:val="003D2C4F"/>
    <w:rsid w:val="003D4397"/>
    <w:rsid w:val="003D48AA"/>
    <w:rsid w:val="003D61F3"/>
    <w:rsid w:val="003D6C2F"/>
    <w:rsid w:val="003D74CF"/>
    <w:rsid w:val="003D7F4C"/>
    <w:rsid w:val="003E0139"/>
    <w:rsid w:val="003E2809"/>
    <w:rsid w:val="003E34FD"/>
    <w:rsid w:val="003E45EA"/>
    <w:rsid w:val="003E54AE"/>
    <w:rsid w:val="003F10DC"/>
    <w:rsid w:val="003F15CA"/>
    <w:rsid w:val="003F240F"/>
    <w:rsid w:val="003F2A74"/>
    <w:rsid w:val="003F3060"/>
    <w:rsid w:val="003F36A0"/>
    <w:rsid w:val="003F433B"/>
    <w:rsid w:val="003F448B"/>
    <w:rsid w:val="003F7FF8"/>
    <w:rsid w:val="004015C6"/>
    <w:rsid w:val="00401BBD"/>
    <w:rsid w:val="0040307A"/>
    <w:rsid w:val="00403316"/>
    <w:rsid w:val="00403AB4"/>
    <w:rsid w:val="00403D77"/>
    <w:rsid w:val="004051D2"/>
    <w:rsid w:val="004062DB"/>
    <w:rsid w:val="0040660A"/>
    <w:rsid w:val="00406BBC"/>
    <w:rsid w:val="0040791E"/>
    <w:rsid w:val="00407BB8"/>
    <w:rsid w:val="00410061"/>
    <w:rsid w:val="0041103D"/>
    <w:rsid w:val="004141B9"/>
    <w:rsid w:val="004152E9"/>
    <w:rsid w:val="00417449"/>
    <w:rsid w:val="00417626"/>
    <w:rsid w:val="00417D67"/>
    <w:rsid w:val="004205E5"/>
    <w:rsid w:val="00420AC1"/>
    <w:rsid w:val="0042515C"/>
    <w:rsid w:val="00426E40"/>
    <w:rsid w:val="00427A25"/>
    <w:rsid w:val="00430A4C"/>
    <w:rsid w:val="00432362"/>
    <w:rsid w:val="00432692"/>
    <w:rsid w:val="00432C5E"/>
    <w:rsid w:val="0043358E"/>
    <w:rsid w:val="00434720"/>
    <w:rsid w:val="00434C2B"/>
    <w:rsid w:val="00434F97"/>
    <w:rsid w:val="00435210"/>
    <w:rsid w:val="0043669D"/>
    <w:rsid w:val="00437D24"/>
    <w:rsid w:val="00444186"/>
    <w:rsid w:val="004442FB"/>
    <w:rsid w:val="00445E6D"/>
    <w:rsid w:val="00447AC0"/>
    <w:rsid w:val="004509B0"/>
    <w:rsid w:val="00450BFF"/>
    <w:rsid w:val="00450DBA"/>
    <w:rsid w:val="00450EF9"/>
    <w:rsid w:val="004519BF"/>
    <w:rsid w:val="00453306"/>
    <w:rsid w:val="00453DA0"/>
    <w:rsid w:val="00454B95"/>
    <w:rsid w:val="00455201"/>
    <w:rsid w:val="004553F7"/>
    <w:rsid w:val="00456280"/>
    <w:rsid w:val="0045651A"/>
    <w:rsid w:val="00457894"/>
    <w:rsid w:val="004607AF"/>
    <w:rsid w:val="00460F88"/>
    <w:rsid w:val="004628C5"/>
    <w:rsid w:val="00463254"/>
    <w:rsid w:val="00463D18"/>
    <w:rsid w:val="00466BDE"/>
    <w:rsid w:val="0046740E"/>
    <w:rsid w:val="00470620"/>
    <w:rsid w:val="00470D85"/>
    <w:rsid w:val="004727A1"/>
    <w:rsid w:val="004735AD"/>
    <w:rsid w:val="00473640"/>
    <w:rsid w:val="00474A62"/>
    <w:rsid w:val="004751F3"/>
    <w:rsid w:val="004753F8"/>
    <w:rsid w:val="00476171"/>
    <w:rsid w:val="00476822"/>
    <w:rsid w:val="00476F87"/>
    <w:rsid w:val="00477551"/>
    <w:rsid w:val="0048071F"/>
    <w:rsid w:val="00480CFB"/>
    <w:rsid w:val="00484ABF"/>
    <w:rsid w:val="0048512C"/>
    <w:rsid w:val="00486429"/>
    <w:rsid w:val="00491E63"/>
    <w:rsid w:val="00492341"/>
    <w:rsid w:val="004923BE"/>
    <w:rsid w:val="00493620"/>
    <w:rsid w:val="00494DBC"/>
    <w:rsid w:val="0049675E"/>
    <w:rsid w:val="0049766C"/>
    <w:rsid w:val="004A0D1C"/>
    <w:rsid w:val="004A0DD4"/>
    <w:rsid w:val="004A16AC"/>
    <w:rsid w:val="004A2171"/>
    <w:rsid w:val="004A3566"/>
    <w:rsid w:val="004A7483"/>
    <w:rsid w:val="004B16E6"/>
    <w:rsid w:val="004B1CE4"/>
    <w:rsid w:val="004B2050"/>
    <w:rsid w:val="004B5351"/>
    <w:rsid w:val="004B535F"/>
    <w:rsid w:val="004B6799"/>
    <w:rsid w:val="004B6E18"/>
    <w:rsid w:val="004B741D"/>
    <w:rsid w:val="004C0788"/>
    <w:rsid w:val="004C1342"/>
    <w:rsid w:val="004C1474"/>
    <w:rsid w:val="004C438F"/>
    <w:rsid w:val="004C6331"/>
    <w:rsid w:val="004C782E"/>
    <w:rsid w:val="004D1C6E"/>
    <w:rsid w:val="004D2667"/>
    <w:rsid w:val="004D31CE"/>
    <w:rsid w:val="004D369E"/>
    <w:rsid w:val="004D5F15"/>
    <w:rsid w:val="004D69A2"/>
    <w:rsid w:val="004E1F31"/>
    <w:rsid w:val="004E6649"/>
    <w:rsid w:val="004E7E43"/>
    <w:rsid w:val="004F02B8"/>
    <w:rsid w:val="004F0C0E"/>
    <w:rsid w:val="004F2816"/>
    <w:rsid w:val="004F2A97"/>
    <w:rsid w:val="004F2CB3"/>
    <w:rsid w:val="004F2DA8"/>
    <w:rsid w:val="004F32AA"/>
    <w:rsid w:val="004F514C"/>
    <w:rsid w:val="004F5321"/>
    <w:rsid w:val="004F5EF2"/>
    <w:rsid w:val="004F6B38"/>
    <w:rsid w:val="00500CFD"/>
    <w:rsid w:val="0050124B"/>
    <w:rsid w:val="0050150A"/>
    <w:rsid w:val="005017D2"/>
    <w:rsid w:val="00502804"/>
    <w:rsid w:val="00506BFB"/>
    <w:rsid w:val="00506CA1"/>
    <w:rsid w:val="00507D89"/>
    <w:rsid w:val="00510061"/>
    <w:rsid w:val="00511C52"/>
    <w:rsid w:val="0051261C"/>
    <w:rsid w:val="0051261E"/>
    <w:rsid w:val="00515093"/>
    <w:rsid w:val="00515120"/>
    <w:rsid w:val="005175AC"/>
    <w:rsid w:val="00517D45"/>
    <w:rsid w:val="00517FCC"/>
    <w:rsid w:val="005221F2"/>
    <w:rsid w:val="00522A22"/>
    <w:rsid w:val="005238EA"/>
    <w:rsid w:val="00523A59"/>
    <w:rsid w:val="00523BF9"/>
    <w:rsid w:val="005241E5"/>
    <w:rsid w:val="0052519E"/>
    <w:rsid w:val="00525671"/>
    <w:rsid w:val="00525760"/>
    <w:rsid w:val="005258BA"/>
    <w:rsid w:val="00525D0A"/>
    <w:rsid w:val="0052644B"/>
    <w:rsid w:val="00527BE8"/>
    <w:rsid w:val="00530067"/>
    <w:rsid w:val="005317F5"/>
    <w:rsid w:val="00532346"/>
    <w:rsid w:val="00533FC5"/>
    <w:rsid w:val="00534F5C"/>
    <w:rsid w:val="005377EB"/>
    <w:rsid w:val="00540557"/>
    <w:rsid w:val="005415F0"/>
    <w:rsid w:val="005427DB"/>
    <w:rsid w:val="005442D6"/>
    <w:rsid w:val="00544E45"/>
    <w:rsid w:val="005456E4"/>
    <w:rsid w:val="00545C08"/>
    <w:rsid w:val="0054639F"/>
    <w:rsid w:val="00546AD2"/>
    <w:rsid w:val="00546BEF"/>
    <w:rsid w:val="00547B8E"/>
    <w:rsid w:val="005523A5"/>
    <w:rsid w:val="005529DD"/>
    <w:rsid w:val="00552B1C"/>
    <w:rsid w:val="00555E55"/>
    <w:rsid w:val="0055657F"/>
    <w:rsid w:val="005575D0"/>
    <w:rsid w:val="00560784"/>
    <w:rsid w:val="0056313E"/>
    <w:rsid w:val="00563620"/>
    <w:rsid w:val="00563E22"/>
    <w:rsid w:val="0057039A"/>
    <w:rsid w:val="00571575"/>
    <w:rsid w:val="005716B6"/>
    <w:rsid w:val="00571BD7"/>
    <w:rsid w:val="0057280A"/>
    <w:rsid w:val="00574AEA"/>
    <w:rsid w:val="0057537E"/>
    <w:rsid w:val="00576DF9"/>
    <w:rsid w:val="00576FBD"/>
    <w:rsid w:val="00576FF4"/>
    <w:rsid w:val="00577324"/>
    <w:rsid w:val="00577512"/>
    <w:rsid w:val="00580A84"/>
    <w:rsid w:val="005813E7"/>
    <w:rsid w:val="00581558"/>
    <w:rsid w:val="00581A1D"/>
    <w:rsid w:val="00582344"/>
    <w:rsid w:val="00585D94"/>
    <w:rsid w:val="00587D93"/>
    <w:rsid w:val="005914CC"/>
    <w:rsid w:val="005915A1"/>
    <w:rsid w:val="00591FE4"/>
    <w:rsid w:val="005935D8"/>
    <w:rsid w:val="005957F1"/>
    <w:rsid w:val="00595C64"/>
    <w:rsid w:val="005967F0"/>
    <w:rsid w:val="005970F9"/>
    <w:rsid w:val="005975C5"/>
    <w:rsid w:val="00597D1A"/>
    <w:rsid w:val="005A121A"/>
    <w:rsid w:val="005A136D"/>
    <w:rsid w:val="005A15BE"/>
    <w:rsid w:val="005A23A0"/>
    <w:rsid w:val="005A3F7E"/>
    <w:rsid w:val="005A5520"/>
    <w:rsid w:val="005A5D74"/>
    <w:rsid w:val="005B02E2"/>
    <w:rsid w:val="005B0663"/>
    <w:rsid w:val="005B0B43"/>
    <w:rsid w:val="005B1955"/>
    <w:rsid w:val="005B2F45"/>
    <w:rsid w:val="005B30C1"/>
    <w:rsid w:val="005B5982"/>
    <w:rsid w:val="005B64DD"/>
    <w:rsid w:val="005B7EBE"/>
    <w:rsid w:val="005C00C1"/>
    <w:rsid w:val="005C1D24"/>
    <w:rsid w:val="005C2FBA"/>
    <w:rsid w:val="005C42F9"/>
    <w:rsid w:val="005C456F"/>
    <w:rsid w:val="005C4CF9"/>
    <w:rsid w:val="005C5329"/>
    <w:rsid w:val="005C66C2"/>
    <w:rsid w:val="005C6D24"/>
    <w:rsid w:val="005C7BB4"/>
    <w:rsid w:val="005D17EE"/>
    <w:rsid w:val="005D1A5C"/>
    <w:rsid w:val="005D31C8"/>
    <w:rsid w:val="005D37CA"/>
    <w:rsid w:val="005D4032"/>
    <w:rsid w:val="005D4EFA"/>
    <w:rsid w:val="005D507B"/>
    <w:rsid w:val="005D5237"/>
    <w:rsid w:val="005D72CB"/>
    <w:rsid w:val="005D7598"/>
    <w:rsid w:val="005D7605"/>
    <w:rsid w:val="005D7C29"/>
    <w:rsid w:val="005E02BA"/>
    <w:rsid w:val="005E2C52"/>
    <w:rsid w:val="005E35DA"/>
    <w:rsid w:val="005E4CDF"/>
    <w:rsid w:val="005E5527"/>
    <w:rsid w:val="005E5D79"/>
    <w:rsid w:val="005E6B3F"/>
    <w:rsid w:val="005E6D33"/>
    <w:rsid w:val="005E6D74"/>
    <w:rsid w:val="005F0856"/>
    <w:rsid w:val="005F146A"/>
    <w:rsid w:val="005F177F"/>
    <w:rsid w:val="005F1EA7"/>
    <w:rsid w:val="005F3460"/>
    <w:rsid w:val="005F34C2"/>
    <w:rsid w:val="005F3D0F"/>
    <w:rsid w:val="005F40FA"/>
    <w:rsid w:val="005F45F1"/>
    <w:rsid w:val="005F6152"/>
    <w:rsid w:val="005F6971"/>
    <w:rsid w:val="00600041"/>
    <w:rsid w:val="006007E1"/>
    <w:rsid w:val="0060317B"/>
    <w:rsid w:val="0060384D"/>
    <w:rsid w:val="00603C4B"/>
    <w:rsid w:val="00606C72"/>
    <w:rsid w:val="00606F19"/>
    <w:rsid w:val="0060707B"/>
    <w:rsid w:val="00610C87"/>
    <w:rsid w:val="00611021"/>
    <w:rsid w:val="00611BFA"/>
    <w:rsid w:val="00612F37"/>
    <w:rsid w:val="00613366"/>
    <w:rsid w:val="00613465"/>
    <w:rsid w:val="00617B9F"/>
    <w:rsid w:val="0062015B"/>
    <w:rsid w:val="00621244"/>
    <w:rsid w:val="00622575"/>
    <w:rsid w:val="006238EF"/>
    <w:rsid w:val="00623B1E"/>
    <w:rsid w:val="00623D98"/>
    <w:rsid w:val="00623E96"/>
    <w:rsid w:val="00624AD3"/>
    <w:rsid w:val="00625A0B"/>
    <w:rsid w:val="00625BBF"/>
    <w:rsid w:val="00625E2C"/>
    <w:rsid w:val="0062644D"/>
    <w:rsid w:val="00626DF8"/>
    <w:rsid w:val="00627A53"/>
    <w:rsid w:val="006315DF"/>
    <w:rsid w:val="00631623"/>
    <w:rsid w:val="006320B2"/>
    <w:rsid w:val="00633D8B"/>
    <w:rsid w:val="00635AC7"/>
    <w:rsid w:val="00637890"/>
    <w:rsid w:val="00640E6B"/>
    <w:rsid w:val="006417A3"/>
    <w:rsid w:val="006439A8"/>
    <w:rsid w:val="00643E62"/>
    <w:rsid w:val="00650965"/>
    <w:rsid w:val="006527B9"/>
    <w:rsid w:val="00652E10"/>
    <w:rsid w:val="00653976"/>
    <w:rsid w:val="00653E63"/>
    <w:rsid w:val="00654D6E"/>
    <w:rsid w:val="00655524"/>
    <w:rsid w:val="00655CCD"/>
    <w:rsid w:val="00657B3E"/>
    <w:rsid w:val="00660C02"/>
    <w:rsid w:val="0066197E"/>
    <w:rsid w:val="006622A4"/>
    <w:rsid w:val="006628AE"/>
    <w:rsid w:val="00662B32"/>
    <w:rsid w:val="00664799"/>
    <w:rsid w:val="00664981"/>
    <w:rsid w:val="00666585"/>
    <w:rsid w:val="006669F4"/>
    <w:rsid w:val="00667985"/>
    <w:rsid w:val="00667D9B"/>
    <w:rsid w:val="00673C94"/>
    <w:rsid w:val="00675193"/>
    <w:rsid w:val="00676BC1"/>
    <w:rsid w:val="006813AD"/>
    <w:rsid w:val="00682C5E"/>
    <w:rsid w:val="00682F74"/>
    <w:rsid w:val="00684DBC"/>
    <w:rsid w:val="00684DD3"/>
    <w:rsid w:val="00686826"/>
    <w:rsid w:val="00686F2B"/>
    <w:rsid w:val="00692096"/>
    <w:rsid w:val="006951FF"/>
    <w:rsid w:val="00695E53"/>
    <w:rsid w:val="00697561"/>
    <w:rsid w:val="006A2A54"/>
    <w:rsid w:val="006A4334"/>
    <w:rsid w:val="006A5046"/>
    <w:rsid w:val="006A58A5"/>
    <w:rsid w:val="006A62E9"/>
    <w:rsid w:val="006A7B88"/>
    <w:rsid w:val="006A7C3F"/>
    <w:rsid w:val="006A7D85"/>
    <w:rsid w:val="006B060E"/>
    <w:rsid w:val="006B20D6"/>
    <w:rsid w:val="006B27DB"/>
    <w:rsid w:val="006B2964"/>
    <w:rsid w:val="006B353C"/>
    <w:rsid w:val="006B3AEA"/>
    <w:rsid w:val="006B57EF"/>
    <w:rsid w:val="006B5C59"/>
    <w:rsid w:val="006B6605"/>
    <w:rsid w:val="006B699F"/>
    <w:rsid w:val="006C1040"/>
    <w:rsid w:val="006C1AAD"/>
    <w:rsid w:val="006C20D6"/>
    <w:rsid w:val="006C25A8"/>
    <w:rsid w:val="006C3466"/>
    <w:rsid w:val="006C4CF5"/>
    <w:rsid w:val="006C66B5"/>
    <w:rsid w:val="006C7134"/>
    <w:rsid w:val="006D1F5E"/>
    <w:rsid w:val="006D374B"/>
    <w:rsid w:val="006D553C"/>
    <w:rsid w:val="006D5D76"/>
    <w:rsid w:val="006E0EA2"/>
    <w:rsid w:val="006E4D53"/>
    <w:rsid w:val="006E530E"/>
    <w:rsid w:val="006E70B3"/>
    <w:rsid w:val="006E7F31"/>
    <w:rsid w:val="006F2AA4"/>
    <w:rsid w:val="006F4DF3"/>
    <w:rsid w:val="006F52CD"/>
    <w:rsid w:val="006F6E57"/>
    <w:rsid w:val="006F6F62"/>
    <w:rsid w:val="00700AAF"/>
    <w:rsid w:val="007014DA"/>
    <w:rsid w:val="00701D46"/>
    <w:rsid w:val="00701FC3"/>
    <w:rsid w:val="00706399"/>
    <w:rsid w:val="00707868"/>
    <w:rsid w:val="00707BD0"/>
    <w:rsid w:val="007125CC"/>
    <w:rsid w:val="007126B1"/>
    <w:rsid w:val="00712F32"/>
    <w:rsid w:val="007133E4"/>
    <w:rsid w:val="007138C1"/>
    <w:rsid w:val="00714116"/>
    <w:rsid w:val="007146B4"/>
    <w:rsid w:val="007149DE"/>
    <w:rsid w:val="00714DC4"/>
    <w:rsid w:val="007169E6"/>
    <w:rsid w:val="00716EDD"/>
    <w:rsid w:val="007171AB"/>
    <w:rsid w:val="00717AE4"/>
    <w:rsid w:val="00721442"/>
    <w:rsid w:val="00723A64"/>
    <w:rsid w:val="007246DB"/>
    <w:rsid w:val="00725169"/>
    <w:rsid w:val="00725FEA"/>
    <w:rsid w:val="007262A7"/>
    <w:rsid w:val="007262F9"/>
    <w:rsid w:val="0072639A"/>
    <w:rsid w:val="00726ED6"/>
    <w:rsid w:val="00730C91"/>
    <w:rsid w:val="00730FCB"/>
    <w:rsid w:val="007321EC"/>
    <w:rsid w:val="007328AE"/>
    <w:rsid w:val="00732DBE"/>
    <w:rsid w:val="00733736"/>
    <w:rsid w:val="00733A0D"/>
    <w:rsid w:val="007342E4"/>
    <w:rsid w:val="007343BB"/>
    <w:rsid w:val="00734498"/>
    <w:rsid w:val="00736E18"/>
    <w:rsid w:val="00737ADB"/>
    <w:rsid w:val="00737D00"/>
    <w:rsid w:val="007401A3"/>
    <w:rsid w:val="007410B1"/>
    <w:rsid w:val="0074248E"/>
    <w:rsid w:val="00742683"/>
    <w:rsid w:val="00742E55"/>
    <w:rsid w:val="0074789A"/>
    <w:rsid w:val="00747FEA"/>
    <w:rsid w:val="00750885"/>
    <w:rsid w:val="00750B96"/>
    <w:rsid w:val="00752A4D"/>
    <w:rsid w:val="00753304"/>
    <w:rsid w:val="007535C3"/>
    <w:rsid w:val="007538A3"/>
    <w:rsid w:val="00753D2A"/>
    <w:rsid w:val="00753FAC"/>
    <w:rsid w:val="00755170"/>
    <w:rsid w:val="00755EDA"/>
    <w:rsid w:val="007608F5"/>
    <w:rsid w:val="00761CA2"/>
    <w:rsid w:val="00765CF1"/>
    <w:rsid w:val="00766879"/>
    <w:rsid w:val="00766AB1"/>
    <w:rsid w:val="007675AA"/>
    <w:rsid w:val="00770B37"/>
    <w:rsid w:val="007720CB"/>
    <w:rsid w:val="007720D2"/>
    <w:rsid w:val="00774D14"/>
    <w:rsid w:val="0077661D"/>
    <w:rsid w:val="007808BC"/>
    <w:rsid w:val="00781EC6"/>
    <w:rsid w:val="00782847"/>
    <w:rsid w:val="00784617"/>
    <w:rsid w:val="007850E2"/>
    <w:rsid w:val="007871E7"/>
    <w:rsid w:val="00787408"/>
    <w:rsid w:val="00790BD9"/>
    <w:rsid w:val="00791343"/>
    <w:rsid w:val="00792264"/>
    <w:rsid w:val="00793E89"/>
    <w:rsid w:val="0079535E"/>
    <w:rsid w:val="007A0D06"/>
    <w:rsid w:val="007A13A9"/>
    <w:rsid w:val="007A3472"/>
    <w:rsid w:val="007A4994"/>
    <w:rsid w:val="007A503A"/>
    <w:rsid w:val="007A769B"/>
    <w:rsid w:val="007B0AA2"/>
    <w:rsid w:val="007B112C"/>
    <w:rsid w:val="007B19F0"/>
    <w:rsid w:val="007B3153"/>
    <w:rsid w:val="007B69B8"/>
    <w:rsid w:val="007C0577"/>
    <w:rsid w:val="007C10AB"/>
    <w:rsid w:val="007C11C2"/>
    <w:rsid w:val="007C1295"/>
    <w:rsid w:val="007C177C"/>
    <w:rsid w:val="007C30E3"/>
    <w:rsid w:val="007C4BCB"/>
    <w:rsid w:val="007C7BE6"/>
    <w:rsid w:val="007C7FAF"/>
    <w:rsid w:val="007D15C6"/>
    <w:rsid w:val="007D1F03"/>
    <w:rsid w:val="007D2D3D"/>
    <w:rsid w:val="007D3D40"/>
    <w:rsid w:val="007D47DF"/>
    <w:rsid w:val="007E104E"/>
    <w:rsid w:val="007E113C"/>
    <w:rsid w:val="007E2228"/>
    <w:rsid w:val="007E23D8"/>
    <w:rsid w:val="007E2999"/>
    <w:rsid w:val="007E2CB8"/>
    <w:rsid w:val="007E2D56"/>
    <w:rsid w:val="007E2F8E"/>
    <w:rsid w:val="007E3884"/>
    <w:rsid w:val="007E5C22"/>
    <w:rsid w:val="007E5E83"/>
    <w:rsid w:val="007E5FE7"/>
    <w:rsid w:val="007E6580"/>
    <w:rsid w:val="007F0F9D"/>
    <w:rsid w:val="007F12D2"/>
    <w:rsid w:val="007F14ED"/>
    <w:rsid w:val="007F158B"/>
    <w:rsid w:val="007F1E90"/>
    <w:rsid w:val="007F25D1"/>
    <w:rsid w:val="007F2E90"/>
    <w:rsid w:val="007F454B"/>
    <w:rsid w:val="007F46BF"/>
    <w:rsid w:val="008000E3"/>
    <w:rsid w:val="00800C63"/>
    <w:rsid w:val="00802431"/>
    <w:rsid w:val="00803B35"/>
    <w:rsid w:val="0080488B"/>
    <w:rsid w:val="00807074"/>
    <w:rsid w:val="00807E08"/>
    <w:rsid w:val="00812CAB"/>
    <w:rsid w:val="00813A1A"/>
    <w:rsid w:val="00814873"/>
    <w:rsid w:val="00820F51"/>
    <w:rsid w:val="00821C7B"/>
    <w:rsid w:val="00823093"/>
    <w:rsid w:val="00823144"/>
    <w:rsid w:val="008235ED"/>
    <w:rsid w:val="0082604B"/>
    <w:rsid w:val="008260DD"/>
    <w:rsid w:val="00826C52"/>
    <w:rsid w:val="00827483"/>
    <w:rsid w:val="008276DF"/>
    <w:rsid w:val="00830872"/>
    <w:rsid w:val="00831FDD"/>
    <w:rsid w:val="0083343F"/>
    <w:rsid w:val="00833748"/>
    <w:rsid w:val="008346EE"/>
    <w:rsid w:val="00835131"/>
    <w:rsid w:val="008356A0"/>
    <w:rsid w:val="0083578E"/>
    <w:rsid w:val="00835EED"/>
    <w:rsid w:val="00835FF3"/>
    <w:rsid w:val="00836D1A"/>
    <w:rsid w:val="00837016"/>
    <w:rsid w:val="008409EB"/>
    <w:rsid w:val="00840FDB"/>
    <w:rsid w:val="00843C84"/>
    <w:rsid w:val="008445E8"/>
    <w:rsid w:val="00847DD9"/>
    <w:rsid w:val="00850718"/>
    <w:rsid w:val="008518F7"/>
    <w:rsid w:val="0085306D"/>
    <w:rsid w:val="00853BAF"/>
    <w:rsid w:val="00853BD3"/>
    <w:rsid w:val="008551AC"/>
    <w:rsid w:val="00855435"/>
    <w:rsid w:val="00855CDC"/>
    <w:rsid w:val="00857182"/>
    <w:rsid w:val="0085787D"/>
    <w:rsid w:val="008605F2"/>
    <w:rsid w:val="00860DB9"/>
    <w:rsid w:val="00861175"/>
    <w:rsid w:val="00861F2C"/>
    <w:rsid w:val="00862562"/>
    <w:rsid w:val="0086340D"/>
    <w:rsid w:val="00863B23"/>
    <w:rsid w:val="00864805"/>
    <w:rsid w:val="008654B5"/>
    <w:rsid w:val="008655B7"/>
    <w:rsid w:val="00865A95"/>
    <w:rsid w:val="0086638E"/>
    <w:rsid w:val="008665D5"/>
    <w:rsid w:val="00866B67"/>
    <w:rsid w:val="00867397"/>
    <w:rsid w:val="00874CC6"/>
    <w:rsid w:val="0087686B"/>
    <w:rsid w:val="00880F03"/>
    <w:rsid w:val="008827F1"/>
    <w:rsid w:val="00882A24"/>
    <w:rsid w:val="00882F55"/>
    <w:rsid w:val="0088382D"/>
    <w:rsid w:val="00884F0C"/>
    <w:rsid w:val="008859B9"/>
    <w:rsid w:val="00886D32"/>
    <w:rsid w:val="0088759B"/>
    <w:rsid w:val="00890BE6"/>
    <w:rsid w:val="00891717"/>
    <w:rsid w:val="008921AE"/>
    <w:rsid w:val="008A3179"/>
    <w:rsid w:val="008A3C97"/>
    <w:rsid w:val="008A44DB"/>
    <w:rsid w:val="008A49BF"/>
    <w:rsid w:val="008A512B"/>
    <w:rsid w:val="008A53D0"/>
    <w:rsid w:val="008B0DFF"/>
    <w:rsid w:val="008B2992"/>
    <w:rsid w:val="008B451D"/>
    <w:rsid w:val="008B59B2"/>
    <w:rsid w:val="008B5A81"/>
    <w:rsid w:val="008B7808"/>
    <w:rsid w:val="008C19C3"/>
    <w:rsid w:val="008C1B98"/>
    <w:rsid w:val="008C1C0F"/>
    <w:rsid w:val="008C2376"/>
    <w:rsid w:val="008C24F6"/>
    <w:rsid w:val="008C2A85"/>
    <w:rsid w:val="008C2E69"/>
    <w:rsid w:val="008C4811"/>
    <w:rsid w:val="008C4F26"/>
    <w:rsid w:val="008C5883"/>
    <w:rsid w:val="008C6409"/>
    <w:rsid w:val="008C6BCA"/>
    <w:rsid w:val="008C7078"/>
    <w:rsid w:val="008C78C4"/>
    <w:rsid w:val="008D168A"/>
    <w:rsid w:val="008D1C7A"/>
    <w:rsid w:val="008D1E9D"/>
    <w:rsid w:val="008D2574"/>
    <w:rsid w:val="008D276B"/>
    <w:rsid w:val="008D393D"/>
    <w:rsid w:val="008D4417"/>
    <w:rsid w:val="008D4DBB"/>
    <w:rsid w:val="008D4F71"/>
    <w:rsid w:val="008D51D1"/>
    <w:rsid w:val="008D5DBF"/>
    <w:rsid w:val="008D68D8"/>
    <w:rsid w:val="008D72A9"/>
    <w:rsid w:val="008E015F"/>
    <w:rsid w:val="008E041F"/>
    <w:rsid w:val="008E090C"/>
    <w:rsid w:val="008E28ED"/>
    <w:rsid w:val="008E3E25"/>
    <w:rsid w:val="008E3E33"/>
    <w:rsid w:val="008E49CE"/>
    <w:rsid w:val="008E4ADE"/>
    <w:rsid w:val="008E6ABE"/>
    <w:rsid w:val="008E7183"/>
    <w:rsid w:val="008E7F68"/>
    <w:rsid w:val="008E7FC8"/>
    <w:rsid w:val="008F06AF"/>
    <w:rsid w:val="008F4693"/>
    <w:rsid w:val="008F622C"/>
    <w:rsid w:val="00900F07"/>
    <w:rsid w:val="00902046"/>
    <w:rsid w:val="0090220D"/>
    <w:rsid w:val="00902B01"/>
    <w:rsid w:val="00904200"/>
    <w:rsid w:val="00904DF1"/>
    <w:rsid w:val="00906022"/>
    <w:rsid w:val="00906E20"/>
    <w:rsid w:val="00906EF1"/>
    <w:rsid w:val="00907709"/>
    <w:rsid w:val="00907DA1"/>
    <w:rsid w:val="0091090F"/>
    <w:rsid w:val="00911F66"/>
    <w:rsid w:val="00912A77"/>
    <w:rsid w:val="00912E7F"/>
    <w:rsid w:val="00913058"/>
    <w:rsid w:val="009135B5"/>
    <w:rsid w:val="0091799F"/>
    <w:rsid w:val="00917C43"/>
    <w:rsid w:val="00917CE8"/>
    <w:rsid w:val="0092105C"/>
    <w:rsid w:val="00923A30"/>
    <w:rsid w:val="00923B27"/>
    <w:rsid w:val="00924BD7"/>
    <w:rsid w:val="0092515B"/>
    <w:rsid w:val="00925941"/>
    <w:rsid w:val="009273D9"/>
    <w:rsid w:val="00931293"/>
    <w:rsid w:val="00931A05"/>
    <w:rsid w:val="0093241B"/>
    <w:rsid w:val="009343EB"/>
    <w:rsid w:val="009345B2"/>
    <w:rsid w:val="00935E06"/>
    <w:rsid w:val="0093D580"/>
    <w:rsid w:val="0094145C"/>
    <w:rsid w:val="009440DB"/>
    <w:rsid w:val="009448C2"/>
    <w:rsid w:val="00946761"/>
    <w:rsid w:val="0095281A"/>
    <w:rsid w:val="00953A80"/>
    <w:rsid w:val="00955761"/>
    <w:rsid w:val="00956572"/>
    <w:rsid w:val="00961095"/>
    <w:rsid w:val="00963104"/>
    <w:rsid w:val="00963300"/>
    <w:rsid w:val="0096348D"/>
    <w:rsid w:val="009634DC"/>
    <w:rsid w:val="009639FA"/>
    <w:rsid w:val="00964258"/>
    <w:rsid w:val="00965B8E"/>
    <w:rsid w:val="009661F4"/>
    <w:rsid w:val="0096672E"/>
    <w:rsid w:val="009670A9"/>
    <w:rsid w:val="00967D5A"/>
    <w:rsid w:val="0097338E"/>
    <w:rsid w:val="0097418C"/>
    <w:rsid w:val="009777B5"/>
    <w:rsid w:val="00983C9F"/>
    <w:rsid w:val="0098404B"/>
    <w:rsid w:val="0098430D"/>
    <w:rsid w:val="00985568"/>
    <w:rsid w:val="00986927"/>
    <w:rsid w:val="00986F87"/>
    <w:rsid w:val="00987AC9"/>
    <w:rsid w:val="009902C6"/>
    <w:rsid w:val="00990901"/>
    <w:rsid w:val="00991C0D"/>
    <w:rsid w:val="00992BC3"/>
    <w:rsid w:val="00993201"/>
    <w:rsid w:val="00993658"/>
    <w:rsid w:val="009938A4"/>
    <w:rsid w:val="009941C3"/>
    <w:rsid w:val="00994A19"/>
    <w:rsid w:val="00995270"/>
    <w:rsid w:val="00995D4E"/>
    <w:rsid w:val="00996665"/>
    <w:rsid w:val="009A0147"/>
    <w:rsid w:val="009A032D"/>
    <w:rsid w:val="009A385C"/>
    <w:rsid w:val="009A45AF"/>
    <w:rsid w:val="009A502B"/>
    <w:rsid w:val="009A68DC"/>
    <w:rsid w:val="009A7768"/>
    <w:rsid w:val="009B1EB1"/>
    <w:rsid w:val="009B36F6"/>
    <w:rsid w:val="009B3BA8"/>
    <w:rsid w:val="009B4E07"/>
    <w:rsid w:val="009B4E63"/>
    <w:rsid w:val="009B7332"/>
    <w:rsid w:val="009C125A"/>
    <w:rsid w:val="009C231D"/>
    <w:rsid w:val="009C25A0"/>
    <w:rsid w:val="009C461C"/>
    <w:rsid w:val="009C4867"/>
    <w:rsid w:val="009C559C"/>
    <w:rsid w:val="009C5BF6"/>
    <w:rsid w:val="009C6344"/>
    <w:rsid w:val="009C6C04"/>
    <w:rsid w:val="009C6EFC"/>
    <w:rsid w:val="009D1C66"/>
    <w:rsid w:val="009D356F"/>
    <w:rsid w:val="009D3789"/>
    <w:rsid w:val="009D4356"/>
    <w:rsid w:val="009D4B8B"/>
    <w:rsid w:val="009D5292"/>
    <w:rsid w:val="009D56FB"/>
    <w:rsid w:val="009D6923"/>
    <w:rsid w:val="009D6DE6"/>
    <w:rsid w:val="009E0817"/>
    <w:rsid w:val="009E1EBD"/>
    <w:rsid w:val="009E215C"/>
    <w:rsid w:val="009E56B7"/>
    <w:rsid w:val="009E5DC1"/>
    <w:rsid w:val="009E6A68"/>
    <w:rsid w:val="009E7020"/>
    <w:rsid w:val="009F0115"/>
    <w:rsid w:val="009F0299"/>
    <w:rsid w:val="009F3559"/>
    <w:rsid w:val="009F3E26"/>
    <w:rsid w:val="00A0088A"/>
    <w:rsid w:val="00A013CC"/>
    <w:rsid w:val="00A018D0"/>
    <w:rsid w:val="00A01C7E"/>
    <w:rsid w:val="00A02129"/>
    <w:rsid w:val="00A02F3E"/>
    <w:rsid w:val="00A03D17"/>
    <w:rsid w:val="00A057E9"/>
    <w:rsid w:val="00A05821"/>
    <w:rsid w:val="00A05B4D"/>
    <w:rsid w:val="00A0634B"/>
    <w:rsid w:val="00A07466"/>
    <w:rsid w:val="00A100D1"/>
    <w:rsid w:val="00A11FA4"/>
    <w:rsid w:val="00A122CA"/>
    <w:rsid w:val="00A1290F"/>
    <w:rsid w:val="00A13C4F"/>
    <w:rsid w:val="00A14734"/>
    <w:rsid w:val="00A155D8"/>
    <w:rsid w:val="00A1635B"/>
    <w:rsid w:val="00A20448"/>
    <w:rsid w:val="00A20AE8"/>
    <w:rsid w:val="00A21208"/>
    <w:rsid w:val="00A21DC1"/>
    <w:rsid w:val="00A23AB6"/>
    <w:rsid w:val="00A23ACF"/>
    <w:rsid w:val="00A23B5D"/>
    <w:rsid w:val="00A24520"/>
    <w:rsid w:val="00A25301"/>
    <w:rsid w:val="00A25B14"/>
    <w:rsid w:val="00A25D6C"/>
    <w:rsid w:val="00A2639A"/>
    <w:rsid w:val="00A301AE"/>
    <w:rsid w:val="00A30851"/>
    <w:rsid w:val="00A315C4"/>
    <w:rsid w:val="00A31735"/>
    <w:rsid w:val="00A32E04"/>
    <w:rsid w:val="00A32FF9"/>
    <w:rsid w:val="00A331AD"/>
    <w:rsid w:val="00A34CBA"/>
    <w:rsid w:val="00A36486"/>
    <w:rsid w:val="00A368B1"/>
    <w:rsid w:val="00A37107"/>
    <w:rsid w:val="00A42079"/>
    <w:rsid w:val="00A42339"/>
    <w:rsid w:val="00A44602"/>
    <w:rsid w:val="00A448A2"/>
    <w:rsid w:val="00A45ED9"/>
    <w:rsid w:val="00A46D42"/>
    <w:rsid w:val="00A471BD"/>
    <w:rsid w:val="00A52F0E"/>
    <w:rsid w:val="00A538A9"/>
    <w:rsid w:val="00A540E4"/>
    <w:rsid w:val="00A55FE8"/>
    <w:rsid w:val="00A61481"/>
    <w:rsid w:val="00A6157D"/>
    <w:rsid w:val="00A62163"/>
    <w:rsid w:val="00A629AC"/>
    <w:rsid w:val="00A637EB"/>
    <w:rsid w:val="00A652DC"/>
    <w:rsid w:val="00A6753C"/>
    <w:rsid w:val="00A70357"/>
    <w:rsid w:val="00A70EFE"/>
    <w:rsid w:val="00A70F9C"/>
    <w:rsid w:val="00A721B2"/>
    <w:rsid w:val="00A7313B"/>
    <w:rsid w:val="00A73558"/>
    <w:rsid w:val="00A738B2"/>
    <w:rsid w:val="00A744A6"/>
    <w:rsid w:val="00A80354"/>
    <w:rsid w:val="00A80582"/>
    <w:rsid w:val="00A80CAB"/>
    <w:rsid w:val="00A8200E"/>
    <w:rsid w:val="00A823AB"/>
    <w:rsid w:val="00A823AF"/>
    <w:rsid w:val="00A84C37"/>
    <w:rsid w:val="00A8679A"/>
    <w:rsid w:val="00A87ADE"/>
    <w:rsid w:val="00A90C6A"/>
    <w:rsid w:val="00A90EC1"/>
    <w:rsid w:val="00A90F8B"/>
    <w:rsid w:val="00A92FB2"/>
    <w:rsid w:val="00A974AD"/>
    <w:rsid w:val="00AA17BA"/>
    <w:rsid w:val="00AA19BD"/>
    <w:rsid w:val="00AA27F2"/>
    <w:rsid w:val="00AA3469"/>
    <w:rsid w:val="00AA3D4B"/>
    <w:rsid w:val="00AA4CA4"/>
    <w:rsid w:val="00AA544B"/>
    <w:rsid w:val="00AA58B5"/>
    <w:rsid w:val="00AA669B"/>
    <w:rsid w:val="00AA71E3"/>
    <w:rsid w:val="00AB02FC"/>
    <w:rsid w:val="00AB0EFE"/>
    <w:rsid w:val="00AB629A"/>
    <w:rsid w:val="00AC3297"/>
    <w:rsid w:val="00AC4A81"/>
    <w:rsid w:val="00AC4B68"/>
    <w:rsid w:val="00AC59B3"/>
    <w:rsid w:val="00AC5BA8"/>
    <w:rsid w:val="00AC5C58"/>
    <w:rsid w:val="00AC6B80"/>
    <w:rsid w:val="00AC7C67"/>
    <w:rsid w:val="00AC7FB1"/>
    <w:rsid w:val="00AD17DC"/>
    <w:rsid w:val="00AD19DB"/>
    <w:rsid w:val="00AD2A31"/>
    <w:rsid w:val="00AD3B62"/>
    <w:rsid w:val="00AD3CD0"/>
    <w:rsid w:val="00AD5E8D"/>
    <w:rsid w:val="00AD5FC6"/>
    <w:rsid w:val="00AD6B3B"/>
    <w:rsid w:val="00AD6E48"/>
    <w:rsid w:val="00AD734E"/>
    <w:rsid w:val="00AD74F2"/>
    <w:rsid w:val="00AE02D8"/>
    <w:rsid w:val="00AE06B2"/>
    <w:rsid w:val="00AE0D06"/>
    <w:rsid w:val="00AE10E5"/>
    <w:rsid w:val="00AE2941"/>
    <w:rsid w:val="00AE2ACC"/>
    <w:rsid w:val="00AE2C10"/>
    <w:rsid w:val="00AE2C1E"/>
    <w:rsid w:val="00AE2C5F"/>
    <w:rsid w:val="00AE3746"/>
    <w:rsid w:val="00AE3BDA"/>
    <w:rsid w:val="00AE3CDD"/>
    <w:rsid w:val="00AE3D6E"/>
    <w:rsid w:val="00AF07F0"/>
    <w:rsid w:val="00AF2A64"/>
    <w:rsid w:val="00AF3529"/>
    <w:rsid w:val="00AF61E3"/>
    <w:rsid w:val="00AF750D"/>
    <w:rsid w:val="00B02940"/>
    <w:rsid w:val="00B037AC"/>
    <w:rsid w:val="00B04F73"/>
    <w:rsid w:val="00B0530E"/>
    <w:rsid w:val="00B05553"/>
    <w:rsid w:val="00B05DB9"/>
    <w:rsid w:val="00B06153"/>
    <w:rsid w:val="00B10EE9"/>
    <w:rsid w:val="00B121EA"/>
    <w:rsid w:val="00B12651"/>
    <w:rsid w:val="00B12C8D"/>
    <w:rsid w:val="00B1356E"/>
    <w:rsid w:val="00B144BE"/>
    <w:rsid w:val="00B1543E"/>
    <w:rsid w:val="00B15C50"/>
    <w:rsid w:val="00B17D58"/>
    <w:rsid w:val="00B2058D"/>
    <w:rsid w:val="00B20B87"/>
    <w:rsid w:val="00B21E2D"/>
    <w:rsid w:val="00B22A78"/>
    <w:rsid w:val="00B22D96"/>
    <w:rsid w:val="00B230D1"/>
    <w:rsid w:val="00B2402C"/>
    <w:rsid w:val="00B24528"/>
    <w:rsid w:val="00B2712D"/>
    <w:rsid w:val="00B2742F"/>
    <w:rsid w:val="00B32699"/>
    <w:rsid w:val="00B329DD"/>
    <w:rsid w:val="00B33BC1"/>
    <w:rsid w:val="00B368FD"/>
    <w:rsid w:val="00B369A6"/>
    <w:rsid w:val="00B36C7A"/>
    <w:rsid w:val="00B42E8C"/>
    <w:rsid w:val="00B45237"/>
    <w:rsid w:val="00B468CA"/>
    <w:rsid w:val="00B4710F"/>
    <w:rsid w:val="00B475F8"/>
    <w:rsid w:val="00B47B88"/>
    <w:rsid w:val="00B51C61"/>
    <w:rsid w:val="00B51CBB"/>
    <w:rsid w:val="00B52090"/>
    <w:rsid w:val="00B54847"/>
    <w:rsid w:val="00B54F78"/>
    <w:rsid w:val="00B571E9"/>
    <w:rsid w:val="00B577B8"/>
    <w:rsid w:val="00B57832"/>
    <w:rsid w:val="00B5791B"/>
    <w:rsid w:val="00B57E94"/>
    <w:rsid w:val="00B61F50"/>
    <w:rsid w:val="00B63309"/>
    <w:rsid w:val="00B63BDD"/>
    <w:rsid w:val="00B6578C"/>
    <w:rsid w:val="00B70164"/>
    <w:rsid w:val="00B70C85"/>
    <w:rsid w:val="00B70D22"/>
    <w:rsid w:val="00B71423"/>
    <w:rsid w:val="00B71B96"/>
    <w:rsid w:val="00B733C9"/>
    <w:rsid w:val="00B73457"/>
    <w:rsid w:val="00B74437"/>
    <w:rsid w:val="00B74695"/>
    <w:rsid w:val="00B75BFB"/>
    <w:rsid w:val="00B761E0"/>
    <w:rsid w:val="00B765F7"/>
    <w:rsid w:val="00B766CE"/>
    <w:rsid w:val="00B81226"/>
    <w:rsid w:val="00B81AEC"/>
    <w:rsid w:val="00B82631"/>
    <w:rsid w:val="00B8317D"/>
    <w:rsid w:val="00B84895"/>
    <w:rsid w:val="00B855E1"/>
    <w:rsid w:val="00B859E7"/>
    <w:rsid w:val="00B861A4"/>
    <w:rsid w:val="00B92B28"/>
    <w:rsid w:val="00B94E6E"/>
    <w:rsid w:val="00B95D8E"/>
    <w:rsid w:val="00BA0282"/>
    <w:rsid w:val="00BA366E"/>
    <w:rsid w:val="00BA3810"/>
    <w:rsid w:val="00BA3FFE"/>
    <w:rsid w:val="00BA447A"/>
    <w:rsid w:val="00BA4B2B"/>
    <w:rsid w:val="00BA6817"/>
    <w:rsid w:val="00BA68F3"/>
    <w:rsid w:val="00BA6DFC"/>
    <w:rsid w:val="00BA7715"/>
    <w:rsid w:val="00BA7F23"/>
    <w:rsid w:val="00BB1863"/>
    <w:rsid w:val="00BB1B42"/>
    <w:rsid w:val="00BB23B5"/>
    <w:rsid w:val="00BB3474"/>
    <w:rsid w:val="00BB39CE"/>
    <w:rsid w:val="00BB52E4"/>
    <w:rsid w:val="00BB5C3C"/>
    <w:rsid w:val="00BB7833"/>
    <w:rsid w:val="00BC13FD"/>
    <w:rsid w:val="00BC14DA"/>
    <w:rsid w:val="00BC15A6"/>
    <w:rsid w:val="00BC19B5"/>
    <w:rsid w:val="00BC20A8"/>
    <w:rsid w:val="00BC2CA1"/>
    <w:rsid w:val="00BC2D02"/>
    <w:rsid w:val="00BC3A47"/>
    <w:rsid w:val="00BC5500"/>
    <w:rsid w:val="00BC56EC"/>
    <w:rsid w:val="00BC66F2"/>
    <w:rsid w:val="00BC6811"/>
    <w:rsid w:val="00BC7F5D"/>
    <w:rsid w:val="00BD0ACF"/>
    <w:rsid w:val="00BD1EDD"/>
    <w:rsid w:val="00BD2C57"/>
    <w:rsid w:val="00BD5DCC"/>
    <w:rsid w:val="00BE1447"/>
    <w:rsid w:val="00BE1D72"/>
    <w:rsid w:val="00BE1ED7"/>
    <w:rsid w:val="00BE2198"/>
    <w:rsid w:val="00BE2FA6"/>
    <w:rsid w:val="00BE73A7"/>
    <w:rsid w:val="00BF0BAC"/>
    <w:rsid w:val="00BF1A48"/>
    <w:rsid w:val="00BF4303"/>
    <w:rsid w:val="00BF460D"/>
    <w:rsid w:val="00BF46F1"/>
    <w:rsid w:val="00BF6CC0"/>
    <w:rsid w:val="00BF6DA4"/>
    <w:rsid w:val="00BF796A"/>
    <w:rsid w:val="00C015E2"/>
    <w:rsid w:val="00C01AB2"/>
    <w:rsid w:val="00C0253E"/>
    <w:rsid w:val="00C0368B"/>
    <w:rsid w:val="00C06C51"/>
    <w:rsid w:val="00C07EFE"/>
    <w:rsid w:val="00C10777"/>
    <w:rsid w:val="00C10BF2"/>
    <w:rsid w:val="00C11055"/>
    <w:rsid w:val="00C1157C"/>
    <w:rsid w:val="00C12CC9"/>
    <w:rsid w:val="00C14007"/>
    <w:rsid w:val="00C1614B"/>
    <w:rsid w:val="00C16EB2"/>
    <w:rsid w:val="00C17BCD"/>
    <w:rsid w:val="00C17FE8"/>
    <w:rsid w:val="00C20AC6"/>
    <w:rsid w:val="00C20CF4"/>
    <w:rsid w:val="00C217B0"/>
    <w:rsid w:val="00C218BE"/>
    <w:rsid w:val="00C22459"/>
    <w:rsid w:val="00C224D6"/>
    <w:rsid w:val="00C22DDC"/>
    <w:rsid w:val="00C236BF"/>
    <w:rsid w:val="00C24818"/>
    <w:rsid w:val="00C26CDC"/>
    <w:rsid w:val="00C27D8E"/>
    <w:rsid w:val="00C30299"/>
    <w:rsid w:val="00C32EDD"/>
    <w:rsid w:val="00C33C84"/>
    <w:rsid w:val="00C350AC"/>
    <w:rsid w:val="00C37E47"/>
    <w:rsid w:val="00C4122E"/>
    <w:rsid w:val="00C44855"/>
    <w:rsid w:val="00C45D29"/>
    <w:rsid w:val="00C46B97"/>
    <w:rsid w:val="00C46D17"/>
    <w:rsid w:val="00C53A30"/>
    <w:rsid w:val="00C5490F"/>
    <w:rsid w:val="00C55BD8"/>
    <w:rsid w:val="00C569A1"/>
    <w:rsid w:val="00C56E3D"/>
    <w:rsid w:val="00C57906"/>
    <w:rsid w:val="00C57AA2"/>
    <w:rsid w:val="00C60AC6"/>
    <w:rsid w:val="00C624CE"/>
    <w:rsid w:val="00C6264A"/>
    <w:rsid w:val="00C62C66"/>
    <w:rsid w:val="00C636DE"/>
    <w:rsid w:val="00C64E7D"/>
    <w:rsid w:val="00C66AF8"/>
    <w:rsid w:val="00C66C0A"/>
    <w:rsid w:val="00C66D8A"/>
    <w:rsid w:val="00C7172A"/>
    <w:rsid w:val="00C71957"/>
    <w:rsid w:val="00C72494"/>
    <w:rsid w:val="00C73126"/>
    <w:rsid w:val="00C73D68"/>
    <w:rsid w:val="00C7506F"/>
    <w:rsid w:val="00C756CE"/>
    <w:rsid w:val="00C75CAE"/>
    <w:rsid w:val="00C761A9"/>
    <w:rsid w:val="00C77F73"/>
    <w:rsid w:val="00C80F1E"/>
    <w:rsid w:val="00C812F6"/>
    <w:rsid w:val="00C83EB7"/>
    <w:rsid w:val="00C84582"/>
    <w:rsid w:val="00C84760"/>
    <w:rsid w:val="00C85DA7"/>
    <w:rsid w:val="00C8787B"/>
    <w:rsid w:val="00C879B0"/>
    <w:rsid w:val="00C903CF"/>
    <w:rsid w:val="00C90542"/>
    <w:rsid w:val="00C91D5A"/>
    <w:rsid w:val="00C9220B"/>
    <w:rsid w:val="00C92D56"/>
    <w:rsid w:val="00C92E62"/>
    <w:rsid w:val="00C95797"/>
    <w:rsid w:val="00C966C8"/>
    <w:rsid w:val="00C975A4"/>
    <w:rsid w:val="00CA0281"/>
    <w:rsid w:val="00CA0AD3"/>
    <w:rsid w:val="00CA0FB3"/>
    <w:rsid w:val="00CA2788"/>
    <w:rsid w:val="00CA2D16"/>
    <w:rsid w:val="00CA2D8C"/>
    <w:rsid w:val="00CA4C28"/>
    <w:rsid w:val="00CA6970"/>
    <w:rsid w:val="00CB0C1D"/>
    <w:rsid w:val="00CB40D0"/>
    <w:rsid w:val="00CB4F4B"/>
    <w:rsid w:val="00CB567F"/>
    <w:rsid w:val="00CB5FA4"/>
    <w:rsid w:val="00CB7D0E"/>
    <w:rsid w:val="00CC003F"/>
    <w:rsid w:val="00CC1AC6"/>
    <w:rsid w:val="00CC21D9"/>
    <w:rsid w:val="00CC3523"/>
    <w:rsid w:val="00CC42D8"/>
    <w:rsid w:val="00CC4994"/>
    <w:rsid w:val="00CC4BA6"/>
    <w:rsid w:val="00CC4C69"/>
    <w:rsid w:val="00CD0C9E"/>
    <w:rsid w:val="00CD1E3D"/>
    <w:rsid w:val="00CD29F5"/>
    <w:rsid w:val="00CD2BEC"/>
    <w:rsid w:val="00CD3313"/>
    <w:rsid w:val="00CD56C1"/>
    <w:rsid w:val="00CE1404"/>
    <w:rsid w:val="00CE1D2F"/>
    <w:rsid w:val="00CE36E5"/>
    <w:rsid w:val="00CE3C63"/>
    <w:rsid w:val="00CE4209"/>
    <w:rsid w:val="00CE4642"/>
    <w:rsid w:val="00CE511E"/>
    <w:rsid w:val="00CE5666"/>
    <w:rsid w:val="00CE5A39"/>
    <w:rsid w:val="00CE5C56"/>
    <w:rsid w:val="00CE6D9B"/>
    <w:rsid w:val="00CE6EDF"/>
    <w:rsid w:val="00CE78E6"/>
    <w:rsid w:val="00CF0F81"/>
    <w:rsid w:val="00CF1A42"/>
    <w:rsid w:val="00CF4A71"/>
    <w:rsid w:val="00CF7140"/>
    <w:rsid w:val="00CF7B0C"/>
    <w:rsid w:val="00CF7B3D"/>
    <w:rsid w:val="00D02355"/>
    <w:rsid w:val="00D03C17"/>
    <w:rsid w:val="00D03C67"/>
    <w:rsid w:val="00D05487"/>
    <w:rsid w:val="00D05FF0"/>
    <w:rsid w:val="00D0767E"/>
    <w:rsid w:val="00D076C5"/>
    <w:rsid w:val="00D079F5"/>
    <w:rsid w:val="00D10938"/>
    <w:rsid w:val="00D10E0B"/>
    <w:rsid w:val="00D1205B"/>
    <w:rsid w:val="00D14DAF"/>
    <w:rsid w:val="00D15283"/>
    <w:rsid w:val="00D15307"/>
    <w:rsid w:val="00D15EEB"/>
    <w:rsid w:val="00D16847"/>
    <w:rsid w:val="00D16B9E"/>
    <w:rsid w:val="00D2154D"/>
    <w:rsid w:val="00D22001"/>
    <w:rsid w:val="00D24C6C"/>
    <w:rsid w:val="00D2603C"/>
    <w:rsid w:val="00D274C0"/>
    <w:rsid w:val="00D278EB"/>
    <w:rsid w:val="00D31DEE"/>
    <w:rsid w:val="00D3358D"/>
    <w:rsid w:val="00D33A4E"/>
    <w:rsid w:val="00D34CBE"/>
    <w:rsid w:val="00D34D9C"/>
    <w:rsid w:val="00D34DE3"/>
    <w:rsid w:val="00D351B9"/>
    <w:rsid w:val="00D365CE"/>
    <w:rsid w:val="00D37CC1"/>
    <w:rsid w:val="00D44821"/>
    <w:rsid w:val="00D45B91"/>
    <w:rsid w:val="00D460C6"/>
    <w:rsid w:val="00D461C1"/>
    <w:rsid w:val="00D52C04"/>
    <w:rsid w:val="00D52DAE"/>
    <w:rsid w:val="00D53710"/>
    <w:rsid w:val="00D5384F"/>
    <w:rsid w:val="00D557C9"/>
    <w:rsid w:val="00D55FA1"/>
    <w:rsid w:val="00D56FC7"/>
    <w:rsid w:val="00D60441"/>
    <w:rsid w:val="00D60F87"/>
    <w:rsid w:val="00D621B2"/>
    <w:rsid w:val="00D65564"/>
    <w:rsid w:val="00D65FF8"/>
    <w:rsid w:val="00D665E4"/>
    <w:rsid w:val="00D67382"/>
    <w:rsid w:val="00D70F19"/>
    <w:rsid w:val="00D71670"/>
    <w:rsid w:val="00D72026"/>
    <w:rsid w:val="00D7574E"/>
    <w:rsid w:val="00D77CAA"/>
    <w:rsid w:val="00D805C1"/>
    <w:rsid w:val="00D817AA"/>
    <w:rsid w:val="00D82416"/>
    <w:rsid w:val="00D8303B"/>
    <w:rsid w:val="00D832F7"/>
    <w:rsid w:val="00D84CF3"/>
    <w:rsid w:val="00D8727E"/>
    <w:rsid w:val="00D90067"/>
    <w:rsid w:val="00D904F1"/>
    <w:rsid w:val="00D91EA2"/>
    <w:rsid w:val="00D926A1"/>
    <w:rsid w:val="00D92CDB"/>
    <w:rsid w:val="00D93194"/>
    <w:rsid w:val="00D93482"/>
    <w:rsid w:val="00D93CA8"/>
    <w:rsid w:val="00D94284"/>
    <w:rsid w:val="00D94BB7"/>
    <w:rsid w:val="00DA0FDA"/>
    <w:rsid w:val="00DA1A53"/>
    <w:rsid w:val="00DA2290"/>
    <w:rsid w:val="00DA2854"/>
    <w:rsid w:val="00DA410B"/>
    <w:rsid w:val="00DA4B78"/>
    <w:rsid w:val="00DA5B77"/>
    <w:rsid w:val="00DA6F99"/>
    <w:rsid w:val="00DB1287"/>
    <w:rsid w:val="00DB5BDC"/>
    <w:rsid w:val="00DB6E58"/>
    <w:rsid w:val="00DB7627"/>
    <w:rsid w:val="00DC318A"/>
    <w:rsid w:val="00DC3EA1"/>
    <w:rsid w:val="00DC4915"/>
    <w:rsid w:val="00DC4CA1"/>
    <w:rsid w:val="00DC68FA"/>
    <w:rsid w:val="00DD04A2"/>
    <w:rsid w:val="00DD0639"/>
    <w:rsid w:val="00DD0946"/>
    <w:rsid w:val="00DD14C0"/>
    <w:rsid w:val="00DD1B0D"/>
    <w:rsid w:val="00DD1EAF"/>
    <w:rsid w:val="00DD2401"/>
    <w:rsid w:val="00DD42A1"/>
    <w:rsid w:val="00DD44CA"/>
    <w:rsid w:val="00DD455F"/>
    <w:rsid w:val="00DD4D85"/>
    <w:rsid w:val="00DD4E03"/>
    <w:rsid w:val="00DD5060"/>
    <w:rsid w:val="00DD5524"/>
    <w:rsid w:val="00DD6773"/>
    <w:rsid w:val="00DD7434"/>
    <w:rsid w:val="00DD780A"/>
    <w:rsid w:val="00DE3725"/>
    <w:rsid w:val="00DE3846"/>
    <w:rsid w:val="00DE38B5"/>
    <w:rsid w:val="00DE426F"/>
    <w:rsid w:val="00DE5575"/>
    <w:rsid w:val="00DE5689"/>
    <w:rsid w:val="00DE5CC6"/>
    <w:rsid w:val="00DE6420"/>
    <w:rsid w:val="00DE68C1"/>
    <w:rsid w:val="00DE6D66"/>
    <w:rsid w:val="00DE7B6E"/>
    <w:rsid w:val="00DF05B0"/>
    <w:rsid w:val="00DF106D"/>
    <w:rsid w:val="00DF18B9"/>
    <w:rsid w:val="00DF2AA4"/>
    <w:rsid w:val="00DF4997"/>
    <w:rsid w:val="00DF4BB3"/>
    <w:rsid w:val="00DF4CD9"/>
    <w:rsid w:val="00DF5F9C"/>
    <w:rsid w:val="00DF722C"/>
    <w:rsid w:val="00DF7F97"/>
    <w:rsid w:val="00E01D0A"/>
    <w:rsid w:val="00E03BED"/>
    <w:rsid w:val="00E04588"/>
    <w:rsid w:val="00E04C36"/>
    <w:rsid w:val="00E05C43"/>
    <w:rsid w:val="00E06BC0"/>
    <w:rsid w:val="00E1021D"/>
    <w:rsid w:val="00E10468"/>
    <w:rsid w:val="00E114A2"/>
    <w:rsid w:val="00E13BAB"/>
    <w:rsid w:val="00E13BE7"/>
    <w:rsid w:val="00E15206"/>
    <w:rsid w:val="00E15404"/>
    <w:rsid w:val="00E1597E"/>
    <w:rsid w:val="00E20B94"/>
    <w:rsid w:val="00E2178C"/>
    <w:rsid w:val="00E21B3A"/>
    <w:rsid w:val="00E25DED"/>
    <w:rsid w:val="00E2632E"/>
    <w:rsid w:val="00E2662B"/>
    <w:rsid w:val="00E26E1B"/>
    <w:rsid w:val="00E31004"/>
    <w:rsid w:val="00E31830"/>
    <w:rsid w:val="00E3200B"/>
    <w:rsid w:val="00E3271A"/>
    <w:rsid w:val="00E32F59"/>
    <w:rsid w:val="00E359B3"/>
    <w:rsid w:val="00E369EE"/>
    <w:rsid w:val="00E36A51"/>
    <w:rsid w:val="00E375A8"/>
    <w:rsid w:val="00E37DCB"/>
    <w:rsid w:val="00E40317"/>
    <w:rsid w:val="00E42284"/>
    <w:rsid w:val="00E42A87"/>
    <w:rsid w:val="00E44101"/>
    <w:rsid w:val="00E44A40"/>
    <w:rsid w:val="00E44B5D"/>
    <w:rsid w:val="00E46392"/>
    <w:rsid w:val="00E46467"/>
    <w:rsid w:val="00E53618"/>
    <w:rsid w:val="00E54EC7"/>
    <w:rsid w:val="00E56263"/>
    <w:rsid w:val="00E56F82"/>
    <w:rsid w:val="00E57C1A"/>
    <w:rsid w:val="00E60B7A"/>
    <w:rsid w:val="00E612D0"/>
    <w:rsid w:val="00E61935"/>
    <w:rsid w:val="00E62216"/>
    <w:rsid w:val="00E6261C"/>
    <w:rsid w:val="00E63F62"/>
    <w:rsid w:val="00E7094B"/>
    <w:rsid w:val="00E715C7"/>
    <w:rsid w:val="00E7197F"/>
    <w:rsid w:val="00E72CDC"/>
    <w:rsid w:val="00E73D19"/>
    <w:rsid w:val="00E740EA"/>
    <w:rsid w:val="00E74471"/>
    <w:rsid w:val="00E755F4"/>
    <w:rsid w:val="00E76D77"/>
    <w:rsid w:val="00E77119"/>
    <w:rsid w:val="00E77848"/>
    <w:rsid w:val="00E81652"/>
    <w:rsid w:val="00E81D78"/>
    <w:rsid w:val="00E83CC6"/>
    <w:rsid w:val="00E8482C"/>
    <w:rsid w:val="00E85194"/>
    <w:rsid w:val="00E859A7"/>
    <w:rsid w:val="00E867D9"/>
    <w:rsid w:val="00E870EF"/>
    <w:rsid w:val="00E87209"/>
    <w:rsid w:val="00E91516"/>
    <w:rsid w:val="00E918FF"/>
    <w:rsid w:val="00E91A1B"/>
    <w:rsid w:val="00E95061"/>
    <w:rsid w:val="00E954FD"/>
    <w:rsid w:val="00EA00C1"/>
    <w:rsid w:val="00EA04D6"/>
    <w:rsid w:val="00EA1C8F"/>
    <w:rsid w:val="00EA6308"/>
    <w:rsid w:val="00EA7C5D"/>
    <w:rsid w:val="00EB0103"/>
    <w:rsid w:val="00EB0768"/>
    <w:rsid w:val="00EB130F"/>
    <w:rsid w:val="00EB2F5E"/>
    <w:rsid w:val="00EB4B23"/>
    <w:rsid w:val="00EB5AF8"/>
    <w:rsid w:val="00EB7E92"/>
    <w:rsid w:val="00EC0818"/>
    <w:rsid w:val="00EC3DF8"/>
    <w:rsid w:val="00EC5E79"/>
    <w:rsid w:val="00EC75AD"/>
    <w:rsid w:val="00ED0467"/>
    <w:rsid w:val="00ED0DC6"/>
    <w:rsid w:val="00ED2097"/>
    <w:rsid w:val="00ED3906"/>
    <w:rsid w:val="00ED484D"/>
    <w:rsid w:val="00ED5287"/>
    <w:rsid w:val="00ED5423"/>
    <w:rsid w:val="00ED6455"/>
    <w:rsid w:val="00ED6DAA"/>
    <w:rsid w:val="00ED72A7"/>
    <w:rsid w:val="00EE0003"/>
    <w:rsid w:val="00EE0077"/>
    <w:rsid w:val="00EE0D35"/>
    <w:rsid w:val="00EE2388"/>
    <w:rsid w:val="00EE2C55"/>
    <w:rsid w:val="00EE3E6B"/>
    <w:rsid w:val="00EE5146"/>
    <w:rsid w:val="00EE5401"/>
    <w:rsid w:val="00EE567F"/>
    <w:rsid w:val="00EE56D7"/>
    <w:rsid w:val="00EE5830"/>
    <w:rsid w:val="00EE6455"/>
    <w:rsid w:val="00EF0249"/>
    <w:rsid w:val="00EF331A"/>
    <w:rsid w:val="00EF4446"/>
    <w:rsid w:val="00EF534D"/>
    <w:rsid w:val="00EF5D63"/>
    <w:rsid w:val="00EF6736"/>
    <w:rsid w:val="00EF678D"/>
    <w:rsid w:val="00EF7970"/>
    <w:rsid w:val="00F00C2A"/>
    <w:rsid w:val="00F00E46"/>
    <w:rsid w:val="00F0103D"/>
    <w:rsid w:val="00F0346C"/>
    <w:rsid w:val="00F03647"/>
    <w:rsid w:val="00F03D89"/>
    <w:rsid w:val="00F0420E"/>
    <w:rsid w:val="00F05F0C"/>
    <w:rsid w:val="00F06045"/>
    <w:rsid w:val="00F10385"/>
    <w:rsid w:val="00F130AB"/>
    <w:rsid w:val="00F13212"/>
    <w:rsid w:val="00F13F54"/>
    <w:rsid w:val="00F14D96"/>
    <w:rsid w:val="00F17B9F"/>
    <w:rsid w:val="00F209B1"/>
    <w:rsid w:val="00F20B07"/>
    <w:rsid w:val="00F21A0C"/>
    <w:rsid w:val="00F21C86"/>
    <w:rsid w:val="00F221EF"/>
    <w:rsid w:val="00F230FF"/>
    <w:rsid w:val="00F23B9B"/>
    <w:rsid w:val="00F2710C"/>
    <w:rsid w:val="00F3041E"/>
    <w:rsid w:val="00F32643"/>
    <w:rsid w:val="00F34B54"/>
    <w:rsid w:val="00F34C65"/>
    <w:rsid w:val="00F357D6"/>
    <w:rsid w:val="00F35BD5"/>
    <w:rsid w:val="00F36546"/>
    <w:rsid w:val="00F369EC"/>
    <w:rsid w:val="00F36AA2"/>
    <w:rsid w:val="00F37E30"/>
    <w:rsid w:val="00F40CF9"/>
    <w:rsid w:val="00F41EF0"/>
    <w:rsid w:val="00F44B94"/>
    <w:rsid w:val="00F4509C"/>
    <w:rsid w:val="00F51303"/>
    <w:rsid w:val="00F53E06"/>
    <w:rsid w:val="00F54574"/>
    <w:rsid w:val="00F54610"/>
    <w:rsid w:val="00F54B1A"/>
    <w:rsid w:val="00F57364"/>
    <w:rsid w:val="00F57ADF"/>
    <w:rsid w:val="00F60405"/>
    <w:rsid w:val="00F60838"/>
    <w:rsid w:val="00F617DE"/>
    <w:rsid w:val="00F61F9C"/>
    <w:rsid w:val="00F62310"/>
    <w:rsid w:val="00F62501"/>
    <w:rsid w:val="00F634E1"/>
    <w:rsid w:val="00F63D74"/>
    <w:rsid w:val="00F65242"/>
    <w:rsid w:val="00F65E18"/>
    <w:rsid w:val="00F70086"/>
    <w:rsid w:val="00F7129E"/>
    <w:rsid w:val="00F72250"/>
    <w:rsid w:val="00F72621"/>
    <w:rsid w:val="00F72E1E"/>
    <w:rsid w:val="00F7353F"/>
    <w:rsid w:val="00F735B5"/>
    <w:rsid w:val="00F754AE"/>
    <w:rsid w:val="00F76DC2"/>
    <w:rsid w:val="00F7744B"/>
    <w:rsid w:val="00F7791D"/>
    <w:rsid w:val="00F806D1"/>
    <w:rsid w:val="00F82E71"/>
    <w:rsid w:val="00F834C7"/>
    <w:rsid w:val="00F84CD9"/>
    <w:rsid w:val="00F84E97"/>
    <w:rsid w:val="00F90D84"/>
    <w:rsid w:val="00F91095"/>
    <w:rsid w:val="00F9154C"/>
    <w:rsid w:val="00F936BE"/>
    <w:rsid w:val="00F9511D"/>
    <w:rsid w:val="00F95F33"/>
    <w:rsid w:val="00F97321"/>
    <w:rsid w:val="00FA0215"/>
    <w:rsid w:val="00FA12E0"/>
    <w:rsid w:val="00FA1326"/>
    <w:rsid w:val="00FA1CFF"/>
    <w:rsid w:val="00FA2BB5"/>
    <w:rsid w:val="00FA2D91"/>
    <w:rsid w:val="00FA429C"/>
    <w:rsid w:val="00FA48CB"/>
    <w:rsid w:val="00FA67BF"/>
    <w:rsid w:val="00FA7A40"/>
    <w:rsid w:val="00FB19B4"/>
    <w:rsid w:val="00FB23B8"/>
    <w:rsid w:val="00FB2A26"/>
    <w:rsid w:val="00FB478E"/>
    <w:rsid w:val="00FB4C1A"/>
    <w:rsid w:val="00FB4F32"/>
    <w:rsid w:val="00FB5238"/>
    <w:rsid w:val="00FB58F9"/>
    <w:rsid w:val="00FB5969"/>
    <w:rsid w:val="00FB5D6E"/>
    <w:rsid w:val="00FB64A1"/>
    <w:rsid w:val="00FB654F"/>
    <w:rsid w:val="00FB682E"/>
    <w:rsid w:val="00FB7927"/>
    <w:rsid w:val="00FC164D"/>
    <w:rsid w:val="00FC1E17"/>
    <w:rsid w:val="00FC37A5"/>
    <w:rsid w:val="00FC3F86"/>
    <w:rsid w:val="00FC47AE"/>
    <w:rsid w:val="00FC47E0"/>
    <w:rsid w:val="00FC4C6D"/>
    <w:rsid w:val="00FC53D4"/>
    <w:rsid w:val="00FC6A6C"/>
    <w:rsid w:val="00FC7412"/>
    <w:rsid w:val="00FC7600"/>
    <w:rsid w:val="00FD0746"/>
    <w:rsid w:val="00FD25BE"/>
    <w:rsid w:val="00FD4EAD"/>
    <w:rsid w:val="00FD54F0"/>
    <w:rsid w:val="00FD6A30"/>
    <w:rsid w:val="00FD6EEB"/>
    <w:rsid w:val="00FD742C"/>
    <w:rsid w:val="00FE0E88"/>
    <w:rsid w:val="00FE18AC"/>
    <w:rsid w:val="00FE22BE"/>
    <w:rsid w:val="00FE3FE2"/>
    <w:rsid w:val="00FE60FD"/>
    <w:rsid w:val="00FE6362"/>
    <w:rsid w:val="00FE6AE9"/>
    <w:rsid w:val="00FF0236"/>
    <w:rsid w:val="00FF2981"/>
    <w:rsid w:val="00FF2D8F"/>
    <w:rsid w:val="00FF38CE"/>
    <w:rsid w:val="00FF41F9"/>
    <w:rsid w:val="00FF4893"/>
    <w:rsid w:val="00FF4A61"/>
    <w:rsid w:val="00FF700A"/>
    <w:rsid w:val="00FF7AD8"/>
    <w:rsid w:val="0245B2DA"/>
    <w:rsid w:val="0292D631"/>
    <w:rsid w:val="060B94FD"/>
    <w:rsid w:val="07F7DB69"/>
    <w:rsid w:val="08A66590"/>
    <w:rsid w:val="0A50F844"/>
    <w:rsid w:val="0D3AF477"/>
    <w:rsid w:val="0D938EA7"/>
    <w:rsid w:val="0DD13E7D"/>
    <w:rsid w:val="1024FE52"/>
    <w:rsid w:val="106AAFF5"/>
    <w:rsid w:val="131CE653"/>
    <w:rsid w:val="131E86A4"/>
    <w:rsid w:val="136E5A9F"/>
    <w:rsid w:val="1472853F"/>
    <w:rsid w:val="14CF5C28"/>
    <w:rsid w:val="14D1BA9A"/>
    <w:rsid w:val="15394B3D"/>
    <w:rsid w:val="16F69782"/>
    <w:rsid w:val="1920875F"/>
    <w:rsid w:val="1B7262EB"/>
    <w:rsid w:val="1D7CF485"/>
    <w:rsid w:val="1E30F281"/>
    <w:rsid w:val="1EA97970"/>
    <w:rsid w:val="1EDB5621"/>
    <w:rsid w:val="21B5CA31"/>
    <w:rsid w:val="25F55022"/>
    <w:rsid w:val="269448F8"/>
    <w:rsid w:val="269A79CC"/>
    <w:rsid w:val="28B16755"/>
    <w:rsid w:val="2A6E729B"/>
    <w:rsid w:val="2AF05824"/>
    <w:rsid w:val="2E63F672"/>
    <w:rsid w:val="2F156231"/>
    <w:rsid w:val="2F2D3272"/>
    <w:rsid w:val="2F3241AD"/>
    <w:rsid w:val="3002D586"/>
    <w:rsid w:val="31CB2790"/>
    <w:rsid w:val="36A54D3A"/>
    <w:rsid w:val="3B3C7F75"/>
    <w:rsid w:val="3CC70CCD"/>
    <w:rsid w:val="3D742AFA"/>
    <w:rsid w:val="3D76996E"/>
    <w:rsid w:val="41C65A5F"/>
    <w:rsid w:val="42FC4C27"/>
    <w:rsid w:val="433E701B"/>
    <w:rsid w:val="43E3FA75"/>
    <w:rsid w:val="46785A31"/>
    <w:rsid w:val="4B3C563D"/>
    <w:rsid w:val="4D07013A"/>
    <w:rsid w:val="4F022D25"/>
    <w:rsid w:val="5078B102"/>
    <w:rsid w:val="50C50D9A"/>
    <w:rsid w:val="5303285C"/>
    <w:rsid w:val="53117920"/>
    <w:rsid w:val="53269CA3"/>
    <w:rsid w:val="539472E7"/>
    <w:rsid w:val="54B40707"/>
    <w:rsid w:val="5AD8AF48"/>
    <w:rsid w:val="5B06DF48"/>
    <w:rsid w:val="5C23B8E1"/>
    <w:rsid w:val="5C350030"/>
    <w:rsid w:val="5E3AF1C2"/>
    <w:rsid w:val="5F9DFDDB"/>
    <w:rsid w:val="5FCD92A1"/>
    <w:rsid w:val="60D01421"/>
    <w:rsid w:val="62129186"/>
    <w:rsid w:val="62E57388"/>
    <w:rsid w:val="62FB05BE"/>
    <w:rsid w:val="63148128"/>
    <w:rsid w:val="634640A6"/>
    <w:rsid w:val="6541A170"/>
    <w:rsid w:val="6580EA8A"/>
    <w:rsid w:val="670D3E57"/>
    <w:rsid w:val="671F7166"/>
    <w:rsid w:val="678DF0BF"/>
    <w:rsid w:val="68B0F15F"/>
    <w:rsid w:val="68E340F1"/>
    <w:rsid w:val="69511DF2"/>
    <w:rsid w:val="69769384"/>
    <w:rsid w:val="6F3CDE81"/>
    <w:rsid w:val="72980F2F"/>
    <w:rsid w:val="748BE780"/>
    <w:rsid w:val="7588BB6F"/>
    <w:rsid w:val="75D1C666"/>
    <w:rsid w:val="77D43D7E"/>
    <w:rsid w:val="783E4BCA"/>
    <w:rsid w:val="78F0B9C4"/>
    <w:rsid w:val="79284FC2"/>
    <w:rsid w:val="79502EAE"/>
    <w:rsid w:val="7DEDC946"/>
    <w:rsid w:val="7F84B2B0"/>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9A67B"/>
  <w15:chartTrackingRefBased/>
  <w15:docId w15:val="{716150AB-3806-419F-BBE6-DE208FAA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E1E"/>
  </w:style>
  <w:style w:type="paragraph" w:styleId="Balk1">
    <w:name w:val="heading 1"/>
    <w:basedOn w:val="Normal"/>
    <w:next w:val="Normal"/>
    <w:link w:val="Balk1Char"/>
    <w:uiPriority w:val="9"/>
    <w:qFormat/>
    <w:rsid w:val="00F72E1E"/>
    <w:pPr>
      <w:keepNext/>
      <w:keepLines/>
      <w:widowControl w:val="0"/>
      <w:autoSpaceDE w:val="0"/>
      <w:autoSpaceDN w:val="0"/>
      <w:adjustRightInd w:val="0"/>
      <w:spacing w:before="240"/>
      <w:outlineLvl w:val="0"/>
    </w:pPr>
    <w:rPr>
      <w:rFonts w:asciiTheme="majorHAnsi" w:eastAsiaTheme="majorEastAsia" w:hAnsiTheme="majorHAnsi" w:cstheme="majorBidi"/>
      <w:color w:val="2F5496" w:themeColor="accent1" w:themeShade="BF"/>
      <w:sz w:val="32"/>
      <w:szCs w:val="32"/>
      <w:lang w:val="en-US"/>
    </w:rPr>
  </w:style>
  <w:style w:type="paragraph" w:styleId="Balk2">
    <w:name w:val="heading 2"/>
    <w:basedOn w:val="Normal"/>
    <w:next w:val="Normal"/>
    <w:link w:val="Balk2Char"/>
    <w:uiPriority w:val="9"/>
    <w:unhideWhenUsed/>
    <w:qFormat/>
    <w:rsid w:val="00F72E1E"/>
    <w:pPr>
      <w:keepNext/>
      <w:keepLines/>
      <w:spacing w:before="40"/>
      <w:outlineLvl w:val="1"/>
    </w:pPr>
    <w:rPr>
      <w:rFonts w:asciiTheme="majorHAnsi" w:eastAsiaTheme="majorEastAsia" w:hAnsiTheme="majorHAnsi" w:cstheme="majorBidi"/>
      <w:color w:val="2F5496" w:themeColor="accent1" w:themeShade="BF"/>
      <w:sz w:val="26"/>
      <w:szCs w:val="26"/>
      <w:lang w:val="en-GB" w:eastAsia="tr-TR"/>
    </w:rPr>
  </w:style>
  <w:style w:type="paragraph" w:styleId="Balk3">
    <w:name w:val="heading 3"/>
    <w:basedOn w:val="Normal"/>
    <w:next w:val="Normal"/>
    <w:link w:val="Balk3Char"/>
    <w:uiPriority w:val="9"/>
    <w:unhideWhenUsed/>
    <w:qFormat/>
    <w:rsid w:val="00F72E1E"/>
    <w:pPr>
      <w:keepNext/>
      <w:keepLines/>
      <w:spacing w:before="40"/>
      <w:outlineLvl w:val="2"/>
    </w:pPr>
    <w:rPr>
      <w:rFonts w:asciiTheme="majorHAnsi" w:eastAsiaTheme="majorEastAsia" w:hAnsiTheme="majorHAnsi" w:cstheme="majorBidi"/>
      <w:color w:val="1F3763" w:themeColor="accent1" w:themeShade="7F"/>
    </w:rPr>
  </w:style>
  <w:style w:type="paragraph" w:styleId="Balk5">
    <w:name w:val="heading 5"/>
    <w:basedOn w:val="Normal"/>
    <w:next w:val="Normal"/>
    <w:link w:val="Balk5Char"/>
    <w:uiPriority w:val="9"/>
    <w:semiHidden/>
    <w:unhideWhenUsed/>
    <w:qFormat/>
    <w:rsid w:val="003A406F"/>
    <w:pPr>
      <w:keepNext/>
      <w:keepLines/>
      <w:spacing w:before="40"/>
      <w:outlineLvl w:val="4"/>
    </w:pPr>
    <w:rPr>
      <w:rFonts w:asciiTheme="majorHAnsi" w:eastAsiaTheme="majorEastAsia" w:hAnsiTheme="majorHAnsi" w:cstheme="majorBidi"/>
      <w:color w:val="2F5496" w:themeColor="accent1" w:themeShade="BF"/>
    </w:rPr>
  </w:style>
  <w:style w:type="paragraph" w:styleId="Balk7">
    <w:name w:val="heading 7"/>
    <w:basedOn w:val="Normal"/>
    <w:next w:val="Normal"/>
    <w:link w:val="Balk7Char"/>
    <w:uiPriority w:val="9"/>
    <w:semiHidden/>
    <w:unhideWhenUsed/>
    <w:qFormat/>
    <w:rsid w:val="00F7129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2E1E"/>
    <w:rPr>
      <w:rFonts w:asciiTheme="majorHAnsi" w:eastAsiaTheme="majorEastAsia" w:hAnsiTheme="majorHAnsi" w:cstheme="majorBidi"/>
      <w:color w:val="2F5496" w:themeColor="accent1" w:themeShade="BF"/>
      <w:sz w:val="32"/>
      <w:szCs w:val="32"/>
      <w:lang w:val="en-US"/>
    </w:rPr>
  </w:style>
  <w:style w:type="character" w:customStyle="1" w:styleId="Balk2Char">
    <w:name w:val="Başlık 2 Char"/>
    <w:basedOn w:val="VarsaylanParagrafYazTipi"/>
    <w:link w:val="Balk2"/>
    <w:uiPriority w:val="9"/>
    <w:rsid w:val="00F72E1E"/>
    <w:rPr>
      <w:rFonts w:asciiTheme="majorHAnsi" w:eastAsiaTheme="majorEastAsia" w:hAnsiTheme="majorHAnsi" w:cstheme="majorBidi"/>
      <w:color w:val="2F5496" w:themeColor="accent1" w:themeShade="BF"/>
      <w:sz w:val="26"/>
      <w:szCs w:val="26"/>
      <w:lang w:val="en-GB" w:eastAsia="tr-TR"/>
    </w:rPr>
  </w:style>
  <w:style w:type="character" w:customStyle="1" w:styleId="Balk3Char">
    <w:name w:val="Başlık 3 Char"/>
    <w:basedOn w:val="VarsaylanParagrafYazTipi"/>
    <w:link w:val="Balk3"/>
    <w:uiPriority w:val="9"/>
    <w:rsid w:val="00F72E1E"/>
    <w:rPr>
      <w:rFonts w:asciiTheme="majorHAnsi" w:eastAsiaTheme="majorEastAsia" w:hAnsiTheme="majorHAnsi" w:cstheme="majorBidi"/>
      <w:color w:val="1F3763" w:themeColor="accent1" w:themeShade="7F"/>
    </w:rPr>
  </w:style>
  <w:style w:type="table" w:styleId="TabloKlavuzu">
    <w:name w:val="Table Grid"/>
    <w:basedOn w:val="NormalTablo"/>
    <w:uiPriority w:val="39"/>
    <w:rsid w:val="00F72E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72E1E"/>
    <w:rPr>
      <w:b/>
      <w:bCs/>
    </w:rPr>
  </w:style>
  <w:style w:type="character" w:customStyle="1" w:styleId="apple-converted-space">
    <w:name w:val="apple-converted-space"/>
    <w:basedOn w:val="VarsaylanParagrafYazTipi"/>
    <w:rsid w:val="00F72E1E"/>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uiPriority w:val="34"/>
    <w:qFormat/>
    <w:rsid w:val="00F72E1E"/>
    <w:pPr>
      <w:ind w:left="720"/>
      <w:contextualSpacing/>
    </w:pPr>
  </w:style>
  <w:style w:type="character" w:styleId="AklamaBavurusu">
    <w:name w:val="annotation reference"/>
    <w:basedOn w:val="VarsaylanParagrafYazTipi"/>
    <w:uiPriority w:val="99"/>
    <w:unhideWhenUsed/>
    <w:rsid w:val="00F72E1E"/>
    <w:rPr>
      <w:sz w:val="16"/>
      <w:szCs w:val="16"/>
    </w:rPr>
  </w:style>
  <w:style w:type="paragraph" w:styleId="AklamaMetni">
    <w:name w:val="annotation text"/>
    <w:aliases w:val="Char1"/>
    <w:basedOn w:val="Normal"/>
    <w:link w:val="AklamaMetniChar"/>
    <w:uiPriority w:val="99"/>
    <w:unhideWhenUsed/>
    <w:qFormat/>
    <w:rsid w:val="00F72E1E"/>
    <w:rPr>
      <w:sz w:val="20"/>
      <w:szCs w:val="20"/>
    </w:rPr>
  </w:style>
  <w:style w:type="character" w:customStyle="1" w:styleId="AklamaMetniChar">
    <w:name w:val="Açıklama Metni Char"/>
    <w:aliases w:val="Char1 Char"/>
    <w:basedOn w:val="VarsaylanParagrafYazTipi"/>
    <w:link w:val="AklamaMetni"/>
    <w:uiPriority w:val="99"/>
    <w:rsid w:val="00F72E1E"/>
    <w:rPr>
      <w:sz w:val="20"/>
      <w:szCs w:val="20"/>
    </w:rPr>
  </w:style>
  <w:style w:type="paragraph" w:styleId="AklamaKonusu">
    <w:name w:val="annotation subject"/>
    <w:basedOn w:val="AklamaMetni"/>
    <w:next w:val="AklamaMetni"/>
    <w:link w:val="AklamaKonusuChar"/>
    <w:uiPriority w:val="99"/>
    <w:semiHidden/>
    <w:unhideWhenUsed/>
    <w:rsid w:val="00F72E1E"/>
    <w:rPr>
      <w:b/>
      <w:bCs/>
    </w:rPr>
  </w:style>
  <w:style w:type="character" w:customStyle="1" w:styleId="AklamaKonusuChar">
    <w:name w:val="Açıklama Konusu Char"/>
    <w:basedOn w:val="AklamaMetniChar"/>
    <w:link w:val="AklamaKonusu"/>
    <w:uiPriority w:val="99"/>
    <w:semiHidden/>
    <w:rsid w:val="00F72E1E"/>
    <w:rPr>
      <w:b/>
      <w:bCs/>
      <w:sz w:val="20"/>
      <w:szCs w:val="20"/>
    </w:rPr>
  </w:style>
  <w:style w:type="paragraph" w:styleId="Dzeltme">
    <w:name w:val="Revision"/>
    <w:hidden/>
    <w:uiPriority w:val="99"/>
    <w:semiHidden/>
    <w:rsid w:val="00F72E1E"/>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F72E1E"/>
  </w:style>
  <w:style w:type="table" w:customStyle="1" w:styleId="PlainTable11">
    <w:name w:val="Plain Table 11"/>
    <w:basedOn w:val="NormalTablo"/>
    <w:rsid w:val="00F72E1E"/>
    <w:rPr>
      <w:rFonts w:ascii="Times New Roman" w:eastAsia="Times New Roman" w:hAnsi="Times New Roman"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simYazs">
    <w:name w:val="caption"/>
    <w:basedOn w:val="Normal"/>
    <w:next w:val="Normal"/>
    <w:uiPriority w:val="35"/>
    <w:unhideWhenUsed/>
    <w:qFormat/>
    <w:rsid w:val="00F72E1E"/>
    <w:pPr>
      <w:spacing w:after="200"/>
    </w:pPr>
    <w:rPr>
      <w:rFonts w:eastAsiaTheme="minorEastAsia"/>
      <w:i/>
      <w:iCs/>
      <w:color w:val="44546A" w:themeColor="text2"/>
      <w:sz w:val="18"/>
      <w:szCs w:val="18"/>
      <w:lang w:val="en-US"/>
    </w:rPr>
  </w:style>
  <w:style w:type="paragraph" w:styleId="BalonMetni">
    <w:name w:val="Balloon Text"/>
    <w:basedOn w:val="Normal"/>
    <w:link w:val="BalonMetniChar"/>
    <w:uiPriority w:val="99"/>
    <w:semiHidden/>
    <w:unhideWhenUsed/>
    <w:rsid w:val="00F72E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72E1E"/>
    <w:rPr>
      <w:rFonts w:ascii="Segoe UI" w:hAnsi="Segoe UI" w:cs="Segoe UI"/>
      <w:sz w:val="18"/>
      <w:szCs w:val="18"/>
    </w:rPr>
  </w:style>
  <w:style w:type="table" w:customStyle="1" w:styleId="TabloKlavuzu1">
    <w:name w:val="Tablo Kılavuzu1"/>
    <w:basedOn w:val="NormalTablo"/>
    <w:next w:val="TabloKlavuzu"/>
    <w:uiPriority w:val="39"/>
    <w:rsid w:val="00F72E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72E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72E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afifVurgulama">
    <w:name w:val="Subtle Emphasis"/>
    <w:uiPriority w:val="19"/>
    <w:qFormat/>
    <w:rsid w:val="00F72E1E"/>
    <w:rPr>
      <w:i/>
      <w:iCs/>
    </w:rPr>
  </w:style>
  <w:style w:type="paragraph" w:styleId="DipnotMetni">
    <w:name w:val="footnote text"/>
    <w:aliases w:val="Char Char Char Char Char,Char Char Char Char Char Char Char Char Char,ft,Footnote Text Char1 Char1,Footnote Text Char Char Char1,Footnote Text Char1 Char Char,Footnote Text Char Char Char Char,Footnote Text Char Char2,f,single space,5_G"/>
    <w:basedOn w:val="Normal"/>
    <w:link w:val="DipnotMetniChar"/>
    <w:uiPriority w:val="99"/>
    <w:unhideWhenUsed/>
    <w:qFormat/>
    <w:rsid w:val="00F72E1E"/>
    <w:rPr>
      <w:sz w:val="20"/>
      <w:szCs w:val="20"/>
    </w:rPr>
  </w:style>
  <w:style w:type="character" w:customStyle="1" w:styleId="DipnotMetniChar">
    <w:name w:val="Dipnot Metni Char"/>
    <w:aliases w:val="Char Char Char Char Char Char,Char Char Char Char Char Char Char Char Char Char,ft Char,Footnote Text Char1 Char1 Char,Footnote Text Char Char Char1 Char,Footnote Text Char1 Char Char Char,Footnote Text Char Char Char Char Char,f Char"/>
    <w:basedOn w:val="VarsaylanParagrafYazTipi"/>
    <w:link w:val="DipnotMetni"/>
    <w:uiPriority w:val="99"/>
    <w:rsid w:val="00F72E1E"/>
    <w:rPr>
      <w:sz w:val="20"/>
      <w:szCs w:val="20"/>
    </w:rPr>
  </w:style>
  <w:style w:type="character" w:styleId="DipnotBavurusu">
    <w:name w:val="footnote reference"/>
    <w:aliases w:val="ftref,16 Point,Superscript 6 Point,(NECG) Footnote Reference,BVI fnr,fr,Ref,de nota al pie,Footnote Ref in FtNote,Footnote Reference Number, BVI fnr,Fußnotenzeichen DISS,SUPERS,Footnotes refss,callout,4_G,4_G Char Char Char Char"/>
    <w:basedOn w:val="VarsaylanParagrafYazTipi"/>
    <w:link w:val="4GCharCharChar"/>
    <w:uiPriority w:val="99"/>
    <w:unhideWhenUsed/>
    <w:qFormat/>
    <w:rsid w:val="00F72E1E"/>
    <w:rPr>
      <w:vertAlign w:val="superscript"/>
    </w:rPr>
  </w:style>
  <w:style w:type="paragraph" w:styleId="NormalWeb">
    <w:name w:val="Normal (Web)"/>
    <w:basedOn w:val="Normal"/>
    <w:uiPriority w:val="99"/>
    <w:unhideWhenUsed/>
    <w:rsid w:val="00F72E1E"/>
    <w:pPr>
      <w:spacing w:before="100" w:beforeAutospacing="1" w:after="100" w:afterAutospacing="1"/>
    </w:pPr>
    <w:rPr>
      <w:rFonts w:ascii="Times New Roman" w:eastAsia="Times New Roman" w:hAnsi="Times New Roman" w:cs="Times New Roman"/>
      <w:lang w:eastAsia="tr-TR"/>
    </w:rPr>
  </w:style>
  <w:style w:type="table" w:styleId="KlavuzTablo5Koyu-Vurgu3">
    <w:name w:val="Grid Table 5 Dark Accent 3"/>
    <w:basedOn w:val="NormalTablo"/>
    <w:uiPriority w:val="50"/>
    <w:rsid w:val="00F72E1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Kpr">
    <w:name w:val="Hyperlink"/>
    <w:basedOn w:val="VarsaylanParagrafYazTipi"/>
    <w:uiPriority w:val="99"/>
    <w:unhideWhenUsed/>
    <w:rsid w:val="00F72E1E"/>
    <w:rPr>
      <w:color w:val="0000FF"/>
      <w:u w:val="single"/>
    </w:rPr>
  </w:style>
  <w:style w:type="character" w:customStyle="1" w:styleId="UnresolvedMention">
    <w:name w:val="Unresolved Mention"/>
    <w:basedOn w:val="VarsaylanParagrafYazTipi"/>
    <w:uiPriority w:val="99"/>
    <w:semiHidden/>
    <w:unhideWhenUsed/>
    <w:rsid w:val="00F72E1E"/>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DipnotBavurusu"/>
    <w:uiPriority w:val="99"/>
    <w:rsid w:val="00F72E1E"/>
    <w:pPr>
      <w:spacing w:after="160" w:line="240" w:lineRule="exact"/>
      <w:jc w:val="both"/>
    </w:pPr>
    <w:rPr>
      <w:vertAlign w:val="superscript"/>
    </w:rPr>
  </w:style>
  <w:style w:type="paragraph" w:customStyle="1" w:styleId="ecxmsolistparagraph">
    <w:name w:val="ecxmsolistparagraph"/>
    <w:basedOn w:val="Normal"/>
    <w:rsid w:val="00F72E1E"/>
    <w:pPr>
      <w:spacing w:before="100" w:beforeAutospacing="1" w:after="100" w:afterAutospacing="1"/>
    </w:pPr>
    <w:rPr>
      <w:rFonts w:ascii="Times New Roman" w:eastAsia="Times New Roman" w:hAnsi="Times New Roman" w:cs="Times New Roman"/>
      <w:lang w:eastAsia="tr-TR"/>
    </w:rPr>
  </w:style>
  <w:style w:type="table" w:styleId="ListeTablo3-Vurgu3">
    <w:name w:val="List Table 3 Accent 3"/>
    <w:basedOn w:val="NormalTablo"/>
    <w:uiPriority w:val="48"/>
    <w:rsid w:val="00F72E1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numbering" w:customStyle="1" w:styleId="GeerliListe1">
    <w:name w:val="Geçerli Liste1"/>
    <w:uiPriority w:val="99"/>
    <w:rsid w:val="00F72E1E"/>
    <w:pPr>
      <w:numPr>
        <w:numId w:val="3"/>
      </w:numPr>
    </w:pPr>
  </w:style>
  <w:style w:type="paragraph" w:styleId="T2">
    <w:name w:val="toc 2"/>
    <w:basedOn w:val="Normal"/>
    <w:next w:val="Normal"/>
    <w:autoRedefine/>
    <w:uiPriority w:val="39"/>
    <w:unhideWhenUsed/>
    <w:rsid w:val="00F72E1E"/>
    <w:pPr>
      <w:spacing w:after="100"/>
      <w:ind w:left="240"/>
    </w:pPr>
  </w:style>
  <w:style w:type="paragraph" w:styleId="T1">
    <w:name w:val="toc 1"/>
    <w:basedOn w:val="Normal"/>
    <w:next w:val="Normal"/>
    <w:autoRedefine/>
    <w:uiPriority w:val="39"/>
    <w:unhideWhenUsed/>
    <w:rsid w:val="00F72E1E"/>
    <w:pPr>
      <w:spacing w:after="100"/>
    </w:pPr>
  </w:style>
  <w:style w:type="paragraph" w:styleId="T3">
    <w:name w:val="toc 3"/>
    <w:basedOn w:val="Normal"/>
    <w:next w:val="Normal"/>
    <w:autoRedefine/>
    <w:uiPriority w:val="39"/>
    <w:unhideWhenUsed/>
    <w:rsid w:val="00F72E1E"/>
    <w:pPr>
      <w:spacing w:after="100"/>
      <w:ind w:left="480"/>
    </w:pPr>
  </w:style>
  <w:style w:type="paragraph" w:styleId="AltBilgi">
    <w:name w:val="footer"/>
    <w:basedOn w:val="Normal"/>
    <w:link w:val="AltBilgiChar"/>
    <w:uiPriority w:val="99"/>
    <w:unhideWhenUsed/>
    <w:rsid w:val="00F72E1E"/>
    <w:pPr>
      <w:tabs>
        <w:tab w:val="center" w:pos="4536"/>
        <w:tab w:val="right" w:pos="9072"/>
      </w:tabs>
    </w:pPr>
  </w:style>
  <w:style w:type="character" w:customStyle="1" w:styleId="AltBilgiChar">
    <w:name w:val="Alt Bilgi Char"/>
    <w:basedOn w:val="VarsaylanParagrafYazTipi"/>
    <w:link w:val="AltBilgi"/>
    <w:uiPriority w:val="99"/>
    <w:rsid w:val="00F72E1E"/>
  </w:style>
  <w:style w:type="character" w:styleId="SayfaNumaras">
    <w:name w:val="page number"/>
    <w:basedOn w:val="VarsaylanParagrafYazTipi"/>
    <w:uiPriority w:val="99"/>
    <w:semiHidden/>
    <w:unhideWhenUsed/>
    <w:rsid w:val="00F72E1E"/>
  </w:style>
  <w:style w:type="character" w:styleId="zlenenKpr">
    <w:name w:val="FollowedHyperlink"/>
    <w:basedOn w:val="VarsaylanParagrafYazTipi"/>
    <w:uiPriority w:val="99"/>
    <w:semiHidden/>
    <w:unhideWhenUsed/>
    <w:rsid w:val="00A540E4"/>
    <w:rPr>
      <w:color w:val="954F72" w:themeColor="followedHyperlink"/>
      <w:u w:val="single"/>
    </w:rPr>
  </w:style>
  <w:style w:type="paragraph" w:customStyle="1" w:styleId="msonormal0">
    <w:name w:val="msonormal"/>
    <w:basedOn w:val="Normal"/>
    <w:uiPriority w:val="99"/>
    <w:semiHidden/>
    <w:rsid w:val="00A540E4"/>
    <w:pPr>
      <w:spacing w:before="100" w:beforeAutospacing="1" w:after="100" w:afterAutospacing="1"/>
    </w:pPr>
    <w:rPr>
      <w:rFonts w:ascii="Times New Roman" w:eastAsia="Times New Roman" w:hAnsi="Times New Roman" w:cs="Times New Roman"/>
      <w:lang w:eastAsia="tr-TR"/>
    </w:rPr>
  </w:style>
  <w:style w:type="paragraph" w:styleId="stBilgi">
    <w:name w:val="header"/>
    <w:basedOn w:val="Normal"/>
    <w:link w:val="stBilgiChar"/>
    <w:uiPriority w:val="99"/>
    <w:unhideWhenUsed/>
    <w:rsid w:val="00A540E4"/>
    <w:pPr>
      <w:tabs>
        <w:tab w:val="center" w:pos="4680"/>
        <w:tab w:val="right" w:pos="9360"/>
      </w:tabs>
    </w:pPr>
    <w:rPr>
      <w:sz w:val="22"/>
      <w:szCs w:val="22"/>
      <w:lang w:val="en-US"/>
    </w:rPr>
  </w:style>
  <w:style w:type="character" w:customStyle="1" w:styleId="stBilgiChar">
    <w:name w:val="Üst Bilgi Char"/>
    <w:basedOn w:val="VarsaylanParagrafYazTipi"/>
    <w:link w:val="stBilgi"/>
    <w:uiPriority w:val="99"/>
    <w:rsid w:val="00A540E4"/>
    <w:rPr>
      <w:sz w:val="22"/>
      <w:szCs w:val="22"/>
      <w:lang w:val="en-US"/>
    </w:rPr>
  </w:style>
  <w:style w:type="table" w:styleId="KlavuzTablo6-Renkli-Vurgu3">
    <w:name w:val="Grid Table 6 Colorful Accent 3"/>
    <w:basedOn w:val="NormalTablo"/>
    <w:uiPriority w:val="51"/>
    <w:rsid w:val="00A540E4"/>
    <w:rPr>
      <w:color w:val="7B7B7B" w:themeColor="accent3" w:themeShade="BF"/>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alk5Char">
    <w:name w:val="Başlık 5 Char"/>
    <w:basedOn w:val="VarsaylanParagrafYazTipi"/>
    <w:link w:val="Balk5"/>
    <w:uiPriority w:val="9"/>
    <w:semiHidden/>
    <w:rsid w:val="003A406F"/>
    <w:rPr>
      <w:rFonts w:asciiTheme="majorHAnsi" w:eastAsiaTheme="majorEastAsia" w:hAnsiTheme="majorHAnsi" w:cstheme="majorBidi"/>
      <w:color w:val="2F5496" w:themeColor="accent1" w:themeShade="BF"/>
    </w:rPr>
  </w:style>
  <w:style w:type="character" w:customStyle="1" w:styleId="Balk7Char">
    <w:name w:val="Başlık 7 Char"/>
    <w:basedOn w:val="VarsaylanParagrafYazTipi"/>
    <w:link w:val="Balk7"/>
    <w:uiPriority w:val="9"/>
    <w:rsid w:val="00F7129E"/>
    <w:rPr>
      <w:rFonts w:asciiTheme="majorHAnsi" w:eastAsiaTheme="majorEastAsia" w:hAnsiTheme="majorHAnsi" w:cstheme="majorBidi"/>
      <w:i/>
      <w:iCs/>
      <w:color w:val="1F3763" w:themeColor="accent1" w:themeShade="7F"/>
    </w:rPr>
  </w:style>
  <w:style w:type="numbering" w:customStyle="1" w:styleId="AECOMBullets">
    <w:name w:val="AECOM_Bullets"/>
    <w:basedOn w:val="ListeYok"/>
    <w:uiPriority w:val="99"/>
    <w:semiHidden/>
    <w:unhideWhenUsed/>
    <w:rsid w:val="00F7129E"/>
    <w:pPr>
      <w:numPr>
        <w:numId w:val="5"/>
      </w:numPr>
    </w:pPr>
  </w:style>
  <w:style w:type="paragraph" w:customStyle="1" w:styleId="TableListBullet">
    <w:name w:val="Table List Bullet"/>
    <w:basedOn w:val="Normal"/>
    <w:uiPriority w:val="15"/>
    <w:qFormat/>
    <w:rsid w:val="00F7129E"/>
    <w:pPr>
      <w:numPr>
        <w:numId w:val="6"/>
      </w:numPr>
      <w:spacing w:after="40"/>
    </w:pPr>
    <w:rPr>
      <w:kern w:val="18"/>
      <w:sz w:val="16"/>
      <w:szCs w:val="18"/>
      <w:lang w:val="en-US"/>
    </w:rPr>
  </w:style>
  <w:style w:type="paragraph" w:customStyle="1" w:styleId="TableListBullet2">
    <w:name w:val="Table List Bullet 2"/>
    <w:basedOn w:val="Normal"/>
    <w:uiPriority w:val="16"/>
    <w:qFormat/>
    <w:rsid w:val="00F7129E"/>
    <w:pPr>
      <w:numPr>
        <w:ilvl w:val="1"/>
        <w:numId w:val="6"/>
      </w:numPr>
      <w:spacing w:after="40"/>
    </w:pPr>
    <w:rPr>
      <w:kern w:val="18"/>
      <w:sz w:val="16"/>
      <w:szCs w:val="18"/>
      <w:lang w:val="en-US"/>
    </w:rPr>
  </w:style>
  <w:style w:type="paragraph" w:customStyle="1" w:styleId="TableListBullet3">
    <w:name w:val="Table List Bullet 3"/>
    <w:basedOn w:val="Normal"/>
    <w:uiPriority w:val="17"/>
    <w:qFormat/>
    <w:rsid w:val="00F7129E"/>
    <w:pPr>
      <w:numPr>
        <w:ilvl w:val="2"/>
        <w:numId w:val="6"/>
      </w:numPr>
      <w:spacing w:after="40"/>
    </w:pPr>
    <w:rPr>
      <w:kern w:val="18"/>
      <w:sz w:val="16"/>
      <w:szCs w:val="18"/>
      <w:lang w:val="en-US"/>
    </w:rPr>
  </w:style>
  <w:style w:type="character" w:styleId="Vurgu">
    <w:name w:val="Emphasis"/>
    <w:basedOn w:val="VarsaylanParagrafYazTipi"/>
    <w:uiPriority w:val="20"/>
    <w:qFormat/>
    <w:rsid w:val="0048071F"/>
    <w:rPr>
      <w:i/>
      <w:iCs/>
    </w:rPr>
  </w:style>
  <w:style w:type="character" w:customStyle="1" w:styleId="Mention">
    <w:name w:val="Mention"/>
    <w:basedOn w:val="VarsaylanParagrafYazTipi"/>
    <w:uiPriority w:val="99"/>
    <w:unhideWhenUsed/>
    <w:rsid w:val="00860D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73">
      <w:bodyDiv w:val="1"/>
      <w:marLeft w:val="0"/>
      <w:marRight w:val="0"/>
      <w:marTop w:val="0"/>
      <w:marBottom w:val="0"/>
      <w:divBdr>
        <w:top w:val="none" w:sz="0" w:space="0" w:color="auto"/>
        <w:left w:val="none" w:sz="0" w:space="0" w:color="auto"/>
        <w:bottom w:val="none" w:sz="0" w:space="0" w:color="auto"/>
        <w:right w:val="none" w:sz="0" w:space="0" w:color="auto"/>
      </w:divBdr>
    </w:div>
    <w:div w:id="4214384">
      <w:bodyDiv w:val="1"/>
      <w:marLeft w:val="0"/>
      <w:marRight w:val="0"/>
      <w:marTop w:val="0"/>
      <w:marBottom w:val="0"/>
      <w:divBdr>
        <w:top w:val="none" w:sz="0" w:space="0" w:color="auto"/>
        <w:left w:val="none" w:sz="0" w:space="0" w:color="auto"/>
        <w:bottom w:val="none" w:sz="0" w:space="0" w:color="auto"/>
        <w:right w:val="none" w:sz="0" w:space="0" w:color="auto"/>
      </w:divBdr>
    </w:div>
    <w:div w:id="44262123">
      <w:bodyDiv w:val="1"/>
      <w:marLeft w:val="0"/>
      <w:marRight w:val="0"/>
      <w:marTop w:val="0"/>
      <w:marBottom w:val="0"/>
      <w:divBdr>
        <w:top w:val="none" w:sz="0" w:space="0" w:color="auto"/>
        <w:left w:val="none" w:sz="0" w:space="0" w:color="auto"/>
        <w:bottom w:val="none" w:sz="0" w:space="0" w:color="auto"/>
        <w:right w:val="none" w:sz="0" w:space="0" w:color="auto"/>
      </w:divBdr>
    </w:div>
    <w:div w:id="47532053">
      <w:bodyDiv w:val="1"/>
      <w:marLeft w:val="0"/>
      <w:marRight w:val="0"/>
      <w:marTop w:val="0"/>
      <w:marBottom w:val="0"/>
      <w:divBdr>
        <w:top w:val="none" w:sz="0" w:space="0" w:color="auto"/>
        <w:left w:val="none" w:sz="0" w:space="0" w:color="auto"/>
        <w:bottom w:val="none" w:sz="0" w:space="0" w:color="auto"/>
        <w:right w:val="none" w:sz="0" w:space="0" w:color="auto"/>
      </w:divBdr>
    </w:div>
    <w:div w:id="68237315">
      <w:bodyDiv w:val="1"/>
      <w:marLeft w:val="0"/>
      <w:marRight w:val="0"/>
      <w:marTop w:val="0"/>
      <w:marBottom w:val="0"/>
      <w:divBdr>
        <w:top w:val="none" w:sz="0" w:space="0" w:color="auto"/>
        <w:left w:val="none" w:sz="0" w:space="0" w:color="auto"/>
        <w:bottom w:val="none" w:sz="0" w:space="0" w:color="auto"/>
        <w:right w:val="none" w:sz="0" w:space="0" w:color="auto"/>
      </w:divBdr>
      <w:divsChild>
        <w:div w:id="1115447426">
          <w:marLeft w:val="0"/>
          <w:marRight w:val="0"/>
          <w:marTop w:val="0"/>
          <w:marBottom w:val="0"/>
          <w:divBdr>
            <w:top w:val="none" w:sz="0" w:space="0" w:color="auto"/>
            <w:left w:val="none" w:sz="0" w:space="0" w:color="auto"/>
            <w:bottom w:val="none" w:sz="0" w:space="0" w:color="auto"/>
            <w:right w:val="none" w:sz="0" w:space="0" w:color="auto"/>
          </w:divBdr>
          <w:divsChild>
            <w:div w:id="1794593169">
              <w:marLeft w:val="0"/>
              <w:marRight w:val="0"/>
              <w:marTop w:val="0"/>
              <w:marBottom w:val="0"/>
              <w:divBdr>
                <w:top w:val="none" w:sz="0" w:space="0" w:color="auto"/>
                <w:left w:val="none" w:sz="0" w:space="0" w:color="auto"/>
                <w:bottom w:val="none" w:sz="0" w:space="0" w:color="auto"/>
                <w:right w:val="none" w:sz="0" w:space="0" w:color="auto"/>
              </w:divBdr>
              <w:divsChild>
                <w:div w:id="372465226">
                  <w:marLeft w:val="0"/>
                  <w:marRight w:val="0"/>
                  <w:marTop w:val="0"/>
                  <w:marBottom w:val="0"/>
                  <w:divBdr>
                    <w:top w:val="none" w:sz="0" w:space="0" w:color="auto"/>
                    <w:left w:val="none" w:sz="0" w:space="0" w:color="auto"/>
                    <w:bottom w:val="none" w:sz="0" w:space="0" w:color="auto"/>
                    <w:right w:val="none" w:sz="0" w:space="0" w:color="auto"/>
                  </w:divBdr>
                  <w:divsChild>
                    <w:div w:id="780953724">
                      <w:marLeft w:val="0"/>
                      <w:marRight w:val="0"/>
                      <w:marTop w:val="0"/>
                      <w:marBottom w:val="0"/>
                      <w:divBdr>
                        <w:top w:val="none" w:sz="0" w:space="0" w:color="auto"/>
                        <w:left w:val="none" w:sz="0" w:space="0" w:color="auto"/>
                        <w:bottom w:val="none" w:sz="0" w:space="0" w:color="auto"/>
                        <w:right w:val="none" w:sz="0" w:space="0" w:color="auto"/>
                      </w:divBdr>
                      <w:divsChild>
                        <w:div w:id="40307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27503">
          <w:marLeft w:val="0"/>
          <w:marRight w:val="0"/>
          <w:marTop w:val="0"/>
          <w:marBottom w:val="0"/>
          <w:divBdr>
            <w:top w:val="none" w:sz="0" w:space="0" w:color="auto"/>
            <w:left w:val="none" w:sz="0" w:space="0" w:color="auto"/>
            <w:bottom w:val="none" w:sz="0" w:space="0" w:color="auto"/>
            <w:right w:val="none" w:sz="0" w:space="0" w:color="auto"/>
          </w:divBdr>
          <w:divsChild>
            <w:div w:id="58603269">
              <w:marLeft w:val="0"/>
              <w:marRight w:val="0"/>
              <w:marTop w:val="0"/>
              <w:marBottom w:val="0"/>
              <w:divBdr>
                <w:top w:val="none" w:sz="0" w:space="0" w:color="auto"/>
                <w:left w:val="none" w:sz="0" w:space="0" w:color="auto"/>
                <w:bottom w:val="none" w:sz="0" w:space="0" w:color="auto"/>
                <w:right w:val="none" w:sz="0" w:space="0" w:color="auto"/>
              </w:divBdr>
              <w:divsChild>
                <w:div w:id="910969024">
                  <w:marLeft w:val="0"/>
                  <w:marRight w:val="0"/>
                  <w:marTop w:val="0"/>
                  <w:marBottom w:val="0"/>
                  <w:divBdr>
                    <w:top w:val="none" w:sz="0" w:space="0" w:color="auto"/>
                    <w:left w:val="none" w:sz="0" w:space="0" w:color="auto"/>
                    <w:bottom w:val="none" w:sz="0" w:space="0" w:color="auto"/>
                    <w:right w:val="none" w:sz="0" w:space="0" w:color="auto"/>
                  </w:divBdr>
                  <w:divsChild>
                    <w:div w:id="111438476">
                      <w:marLeft w:val="225"/>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6195">
      <w:bodyDiv w:val="1"/>
      <w:marLeft w:val="0"/>
      <w:marRight w:val="0"/>
      <w:marTop w:val="0"/>
      <w:marBottom w:val="0"/>
      <w:divBdr>
        <w:top w:val="none" w:sz="0" w:space="0" w:color="auto"/>
        <w:left w:val="none" w:sz="0" w:space="0" w:color="auto"/>
        <w:bottom w:val="none" w:sz="0" w:space="0" w:color="auto"/>
        <w:right w:val="none" w:sz="0" w:space="0" w:color="auto"/>
      </w:divBdr>
    </w:div>
    <w:div w:id="90666862">
      <w:bodyDiv w:val="1"/>
      <w:marLeft w:val="0"/>
      <w:marRight w:val="0"/>
      <w:marTop w:val="0"/>
      <w:marBottom w:val="0"/>
      <w:divBdr>
        <w:top w:val="none" w:sz="0" w:space="0" w:color="auto"/>
        <w:left w:val="none" w:sz="0" w:space="0" w:color="auto"/>
        <w:bottom w:val="none" w:sz="0" w:space="0" w:color="auto"/>
        <w:right w:val="none" w:sz="0" w:space="0" w:color="auto"/>
      </w:divBdr>
    </w:div>
    <w:div w:id="120542050">
      <w:bodyDiv w:val="1"/>
      <w:marLeft w:val="0"/>
      <w:marRight w:val="0"/>
      <w:marTop w:val="0"/>
      <w:marBottom w:val="0"/>
      <w:divBdr>
        <w:top w:val="none" w:sz="0" w:space="0" w:color="auto"/>
        <w:left w:val="none" w:sz="0" w:space="0" w:color="auto"/>
        <w:bottom w:val="none" w:sz="0" w:space="0" w:color="auto"/>
        <w:right w:val="none" w:sz="0" w:space="0" w:color="auto"/>
      </w:divBdr>
    </w:div>
    <w:div w:id="139660766">
      <w:bodyDiv w:val="1"/>
      <w:marLeft w:val="0"/>
      <w:marRight w:val="0"/>
      <w:marTop w:val="0"/>
      <w:marBottom w:val="0"/>
      <w:divBdr>
        <w:top w:val="none" w:sz="0" w:space="0" w:color="auto"/>
        <w:left w:val="none" w:sz="0" w:space="0" w:color="auto"/>
        <w:bottom w:val="none" w:sz="0" w:space="0" w:color="auto"/>
        <w:right w:val="none" w:sz="0" w:space="0" w:color="auto"/>
      </w:divBdr>
    </w:div>
    <w:div w:id="147940484">
      <w:bodyDiv w:val="1"/>
      <w:marLeft w:val="0"/>
      <w:marRight w:val="0"/>
      <w:marTop w:val="0"/>
      <w:marBottom w:val="0"/>
      <w:divBdr>
        <w:top w:val="none" w:sz="0" w:space="0" w:color="auto"/>
        <w:left w:val="none" w:sz="0" w:space="0" w:color="auto"/>
        <w:bottom w:val="none" w:sz="0" w:space="0" w:color="auto"/>
        <w:right w:val="none" w:sz="0" w:space="0" w:color="auto"/>
      </w:divBdr>
    </w:div>
    <w:div w:id="153028704">
      <w:bodyDiv w:val="1"/>
      <w:marLeft w:val="0"/>
      <w:marRight w:val="0"/>
      <w:marTop w:val="0"/>
      <w:marBottom w:val="0"/>
      <w:divBdr>
        <w:top w:val="none" w:sz="0" w:space="0" w:color="auto"/>
        <w:left w:val="none" w:sz="0" w:space="0" w:color="auto"/>
        <w:bottom w:val="none" w:sz="0" w:space="0" w:color="auto"/>
        <w:right w:val="none" w:sz="0" w:space="0" w:color="auto"/>
      </w:divBdr>
    </w:div>
    <w:div w:id="156845446">
      <w:bodyDiv w:val="1"/>
      <w:marLeft w:val="0"/>
      <w:marRight w:val="0"/>
      <w:marTop w:val="0"/>
      <w:marBottom w:val="0"/>
      <w:divBdr>
        <w:top w:val="none" w:sz="0" w:space="0" w:color="auto"/>
        <w:left w:val="none" w:sz="0" w:space="0" w:color="auto"/>
        <w:bottom w:val="none" w:sz="0" w:space="0" w:color="auto"/>
        <w:right w:val="none" w:sz="0" w:space="0" w:color="auto"/>
      </w:divBdr>
    </w:div>
    <w:div w:id="156964877">
      <w:bodyDiv w:val="1"/>
      <w:marLeft w:val="0"/>
      <w:marRight w:val="0"/>
      <w:marTop w:val="0"/>
      <w:marBottom w:val="0"/>
      <w:divBdr>
        <w:top w:val="none" w:sz="0" w:space="0" w:color="auto"/>
        <w:left w:val="none" w:sz="0" w:space="0" w:color="auto"/>
        <w:bottom w:val="none" w:sz="0" w:space="0" w:color="auto"/>
        <w:right w:val="none" w:sz="0" w:space="0" w:color="auto"/>
      </w:divBdr>
    </w:div>
    <w:div w:id="166872653">
      <w:bodyDiv w:val="1"/>
      <w:marLeft w:val="0"/>
      <w:marRight w:val="0"/>
      <w:marTop w:val="0"/>
      <w:marBottom w:val="0"/>
      <w:divBdr>
        <w:top w:val="none" w:sz="0" w:space="0" w:color="auto"/>
        <w:left w:val="none" w:sz="0" w:space="0" w:color="auto"/>
        <w:bottom w:val="none" w:sz="0" w:space="0" w:color="auto"/>
        <w:right w:val="none" w:sz="0" w:space="0" w:color="auto"/>
      </w:divBdr>
    </w:div>
    <w:div w:id="186532368">
      <w:bodyDiv w:val="1"/>
      <w:marLeft w:val="0"/>
      <w:marRight w:val="0"/>
      <w:marTop w:val="0"/>
      <w:marBottom w:val="0"/>
      <w:divBdr>
        <w:top w:val="none" w:sz="0" w:space="0" w:color="auto"/>
        <w:left w:val="none" w:sz="0" w:space="0" w:color="auto"/>
        <w:bottom w:val="none" w:sz="0" w:space="0" w:color="auto"/>
        <w:right w:val="none" w:sz="0" w:space="0" w:color="auto"/>
      </w:divBdr>
    </w:div>
    <w:div w:id="217399528">
      <w:bodyDiv w:val="1"/>
      <w:marLeft w:val="0"/>
      <w:marRight w:val="0"/>
      <w:marTop w:val="0"/>
      <w:marBottom w:val="0"/>
      <w:divBdr>
        <w:top w:val="none" w:sz="0" w:space="0" w:color="auto"/>
        <w:left w:val="none" w:sz="0" w:space="0" w:color="auto"/>
        <w:bottom w:val="none" w:sz="0" w:space="0" w:color="auto"/>
        <w:right w:val="none" w:sz="0" w:space="0" w:color="auto"/>
      </w:divBdr>
    </w:div>
    <w:div w:id="222327369">
      <w:bodyDiv w:val="1"/>
      <w:marLeft w:val="0"/>
      <w:marRight w:val="0"/>
      <w:marTop w:val="0"/>
      <w:marBottom w:val="0"/>
      <w:divBdr>
        <w:top w:val="none" w:sz="0" w:space="0" w:color="auto"/>
        <w:left w:val="none" w:sz="0" w:space="0" w:color="auto"/>
        <w:bottom w:val="none" w:sz="0" w:space="0" w:color="auto"/>
        <w:right w:val="none" w:sz="0" w:space="0" w:color="auto"/>
      </w:divBdr>
    </w:div>
    <w:div w:id="251279911">
      <w:bodyDiv w:val="1"/>
      <w:marLeft w:val="0"/>
      <w:marRight w:val="0"/>
      <w:marTop w:val="0"/>
      <w:marBottom w:val="0"/>
      <w:divBdr>
        <w:top w:val="none" w:sz="0" w:space="0" w:color="auto"/>
        <w:left w:val="none" w:sz="0" w:space="0" w:color="auto"/>
        <w:bottom w:val="none" w:sz="0" w:space="0" w:color="auto"/>
        <w:right w:val="none" w:sz="0" w:space="0" w:color="auto"/>
      </w:divBdr>
    </w:div>
    <w:div w:id="257641457">
      <w:bodyDiv w:val="1"/>
      <w:marLeft w:val="0"/>
      <w:marRight w:val="0"/>
      <w:marTop w:val="0"/>
      <w:marBottom w:val="0"/>
      <w:divBdr>
        <w:top w:val="none" w:sz="0" w:space="0" w:color="auto"/>
        <w:left w:val="none" w:sz="0" w:space="0" w:color="auto"/>
        <w:bottom w:val="none" w:sz="0" w:space="0" w:color="auto"/>
        <w:right w:val="none" w:sz="0" w:space="0" w:color="auto"/>
      </w:divBdr>
    </w:div>
    <w:div w:id="263538303">
      <w:bodyDiv w:val="1"/>
      <w:marLeft w:val="0"/>
      <w:marRight w:val="0"/>
      <w:marTop w:val="0"/>
      <w:marBottom w:val="0"/>
      <w:divBdr>
        <w:top w:val="none" w:sz="0" w:space="0" w:color="auto"/>
        <w:left w:val="none" w:sz="0" w:space="0" w:color="auto"/>
        <w:bottom w:val="none" w:sz="0" w:space="0" w:color="auto"/>
        <w:right w:val="none" w:sz="0" w:space="0" w:color="auto"/>
      </w:divBdr>
    </w:div>
    <w:div w:id="266616970">
      <w:bodyDiv w:val="1"/>
      <w:marLeft w:val="0"/>
      <w:marRight w:val="0"/>
      <w:marTop w:val="0"/>
      <w:marBottom w:val="0"/>
      <w:divBdr>
        <w:top w:val="none" w:sz="0" w:space="0" w:color="auto"/>
        <w:left w:val="none" w:sz="0" w:space="0" w:color="auto"/>
        <w:bottom w:val="none" w:sz="0" w:space="0" w:color="auto"/>
        <w:right w:val="none" w:sz="0" w:space="0" w:color="auto"/>
      </w:divBdr>
      <w:divsChild>
        <w:div w:id="169443121">
          <w:marLeft w:val="0"/>
          <w:marRight w:val="0"/>
          <w:marTop w:val="0"/>
          <w:marBottom w:val="0"/>
          <w:divBdr>
            <w:top w:val="none" w:sz="0" w:space="0" w:color="auto"/>
            <w:left w:val="none" w:sz="0" w:space="0" w:color="auto"/>
            <w:bottom w:val="none" w:sz="0" w:space="0" w:color="auto"/>
            <w:right w:val="none" w:sz="0" w:space="0" w:color="auto"/>
          </w:divBdr>
        </w:div>
        <w:div w:id="484401349">
          <w:marLeft w:val="0"/>
          <w:marRight w:val="0"/>
          <w:marTop w:val="0"/>
          <w:marBottom w:val="0"/>
          <w:divBdr>
            <w:top w:val="none" w:sz="0" w:space="0" w:color="auto"/>
            <w:left w:val="none" w:sz="0" w:space="0" w:color="auto"/>
            <w:bottom w:val="none" w:sz="0" w:space="0" w:color="auto"/>
            <w:right w:val="none" w:sz="0" w:space="0" w:color="auto"/>
          </w:divBdr>
        </w:div>
      </w:divsChild>
    </w:div>
    <w:div w:id="285745986">
      <w:bodyDiv w:val="1"/>
      <w:marLeft w:val="0"/>
      <w:marRight w:val="0"/>
      <w:marTop w:val="0"/>
      <w:marBottom w:val="0"/>
      <w:divBdr>
        <w:top w:val="none" w:sz="0" w:space="0" w:color="auto"/>
        <w:left w:val="none" w:sz="0" w:space="0" w:color="auto"/>
        <w:bottom w:val="none" w:sz="0" w:space="0" w:color="auto"/>
        <w:right w:val="none" w:sz="0" w:space="0" w:color="auto"/>
      </w:divBdr>
    </w:div>
    <w:div w:id="297149785">
      <w:bodyDiv w:val="1"/>
      <w:marLeft w:val="0"/>
      <w:marRight w:val="0"/>
      <w:marTop w:val="0"/>
      <w:marBottom w:val="0"/>
      <w:divBdr>
        <w:top w:val="none" w:sz="0" w:space="0" w:color="auto"/>
        <w:left w:val="none" w:sz="0" w:space="0" w:color="auto"/>
        <w:bottom w:val="none" w:sz="0" w:space="0" w:color="auto"/>
        <w:right w:val="none" w:sz="0" w:space="0" w:color="auto"/>
      </w:divBdr>
    </w:div>
    <w:div w:id="324824445">
      <w:bodyDiv w:val="1"/>
      <w:marLeft w:val="0"/>
      <w:marRight w:val="0"/>
      <w:marTop w:val="0"/>
      <w:marBottom w:val="0"/>
      <w:divBdr>
        <w:top w:val="none" w:sz="0" w:space="0" w:color="auto"/>
        <w:left w:val="none" w:sz="0" w:space="0" w:color="auto"/>
        <w:bottom w:val="none" w:sz="0" w:space="0" w:color="auto"/>
        <w:right w:val="none" w:sz="0" w:space="0" w:color="auto"/>
      </w:divBdr>
    </w:div>
    <w:div w:id="334696355">
      <w:bodyDiv w:val="1"/>
      <w:marLeft w:val="0"/>
      <w:marRight w:val="0"/>
      <w:marTop w:val="0"/>
      <w:marBottom w:val="0"/>
      <w:divBdr>
        <w:top w:val="none" w:sz="0" w:space="0" w:color="auto"/>
        <w:left w:val="none" w:sz="0" w:space="0" w:color="auto"/>
        <w:bottom w:val="none" w:sz="0" w:space="0" w:color="auto"/>
        <w:right w:val="none" w:sz="0" w:space="0" w:color="auto"/>
      </w:divBdr>
      <w:divsChild>
        <w:div w:id="234509267">
          <w:marLeft w:val="0"/>
          <w:marRight w:val="0"/>
          <w:marTop w:val="0"/>
          <w:marBottom w:val="0"/>
          <w:divBdr>
            <w:top w:val="none" w:sz="0" w:space="0" w:color="auto"/>
            <w:left w:val="none" w:sz="0" w:space="0" w:color="auto"/>
            <w:bottom w:val="none" w:sz="0" w:space="0" w:color="auto"/>
            <w:right w:val="none" w:sz="0" w:space="0" w:color="auto"/>
          </w:divBdr>
          <w:divsChild>
            <w:div w:id="655037078">
              <w:marLeft w:val="0"/>
              <w:marRight w:val="0"/>
              <w:marTop w:val="120"/>
              <w:marBottom w:val="0"/>
              <w:divBdr>
                <w:top w:val="none" w:sz="0" w:space="0" w:color="auto"/>
                <w:left w:val="none" w:sz="0" w:space="0" w:color="auto"/>
                <w:bottom w:val="none" w:sz="0" w:space="0" w:color="auto"/>
                <w:right w:val="none" w:sz="0" w:space="0" w:color="auto"/>
              </w:divBdr>
              <w:divsChild>
                <w:div w:id="283999689">
                  <w:marLeft w:val="0"/>
                  <w:marRight w:val="0"/>
                  <w:marTop w:val="0"/>
                  <w:marBottom w:val="0"/>
                  <w:divBdr>
                    <w:top w:val="none" w:sz="0" w:space="0" w:color="auto"/>
                    <w:left w:val="none" w:sz="0" w:space="0" w:color="auto"/>
                    <w:bottom w:val="none" w:sz="0" w:space="0" w:color="auto"/>
                    <w:right w:val="none" w:sz="0" w:space="0" w:color="auto"/>
                  </w:divBdr>
                  <w:divsChild>
                    <w:div w:id="49684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523781">
          <w:marLeft w:val="0"/>
          <w:marRight w:val="0"/>
          <w:marTop w:val="0"/>
          <w:marBottom w:val="0"/>
          <w:divBdr>
            <w:top w:val="none" w:sz="0" w:space="0" w:color="auto"/>
            <w:left w:val="none" w:sz="0" w:space="0" w:color="auto"/>
            <w:bottom w:val="none" w:sz="0" w:space="0" w:color="auto"/>
            <w:right w:val="none" w:sz="0" w:space="0" w:color="auto"/>
          </w:divBdr>
          <w:divsChild>
            <w:div w:id="170984146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39356450">
      <w:bodyDiv w:val="1"/>
      <w:marLeft w:val="0"/>
      <w:marRight w:val="0"/>
      <w:marTop w:val="0"/>
      <w:marBottom w:val="0"/>
      <w:divBdr>
        <w:top w:val="none" w:sz="0" w:space="0" w:color="auto"/>
        <w:left w:val="none" w:sz="0" w:space="0" w:color="auto"/>
        <w:bottom w:val="none" w:sz="0" w:space="0" w:color="auto"/>
        <w:right w:val="none" w:sz="0" w:space="0" w:color="auto"/>
      </w:divBdr>
    </w:div>
    <w:div w:id="341785134">
      <w:bodyDiv w:val="1"/>
      <w:marLeft w:val="0"/>
      <w:marRight w:val="0"/>
      <w:marTop w:val="0"/>
      <w:marBottom w:val="0"/>
      <w:divBdr>
        <w:top w:val="none" w:sz="0" w:space="0" w:color="auto"/>
        <w:left w:val="none" w:sz="0" w:space="0" w:color="auto"/>
        <w:bottom w:val="none" w:sz="0" w:space="0" w:color="auto"/>
        <w:right w:val="none" w:sz="0" w:space="0" w:color="auto"/>
      </w:divBdr>
    </w:div>
    <w:div w:id="372921188">
      <w:bodyDiv w:val="1"/>
      <w:marLeft w:val="0"/>
      <w:marRight w:val="0"/>
      <w:marTop w:val="0"/>
      <w:marBottom w:val="0"/>
      <w:divBdr>
        <w:top w:val="none" w:sz="0" w:space="0" w:color="auto"/>
        <w:left w:val="none" w:sz="0" w:space="0" w:color="auto"/>
        <w:bottom w:val="none" w:sz="0" w:space="0" w:color="auto"/>
        <w:right w:val="none" w:sz="0" w:space="0" w:color="auto"/>
      </w:divBdr>
    </w:div>
    <w:div w:id="375546063">
      <w:bodyDiv w:val="1"/>
      <w:marLeft w:val="0"/>
      <w:marRight w:val="0"/>
      <w:marTop w:val="0"/>
      <w:marBottom w:val="0"/>
      <w:divBdr>
        <w:top w:val="none" w:sz="0" w:space="0" w:color="auto"/>
        <w:left w:val="none" w:sz="0" w:space="0" w:color="auto"/>
        <w:bottom w:val="none" w:sz="0" w:space="0" w:color="auto"/>
        <w:right w:val="none" w:sz="0" w:space="0" w:color="auto"/>
      </w:divBdr>
    </w:div>
    <w:div w:id="393429462">
      <w:bodyDiv w:val="1"/>
      <w:marLeft w:val="0"/>
      <w:marRight w:val="0"/>
      <w:marTop w:val="0"/>
      <w:marBottom w:val="0"/>
      <w:divBdr>
        <w:top w:val="none" w:sz="0" w:space="0" w:color="auto"/>
        <w:left w:val="none" w:sz="0" w:space="0" w:color="auto"/>
        <w:bottom w:val="none" w:sz="0" w:space="0" w:color="auto"/>
        <w:right w:val="none" w:sz="0" w:space="0" w:color="auto"/>
      </w:divBdr>
    </w:div>
    <w:div w:id="405498909">
      <w:bodyDiv w:val="1"/>
      <w:marLeft w:val="0"/>
      <w:marRight w:val="0"/>
      <w:marTop w:val="0"/>
      <w:marBottom w:val="0"/>
      <w:divBdr>
        <w:top w:val="none" w:sz="0" w:space="0" w:color="auto"/>
        <w:left w:val="none" w:sz="0" w:space="0" w:color="auto"/>
        <w:bottom w:val="none" w:sz="0" w:space="0" w:color="auto"/>
        <w:right w:val="none" w:sz="0" w:space="0" w:color="auto"/>
      </w:divBdr>
    </w:div>
    <w:div w:id="408888134">
      <w:bodyDiv w:val="1"/>
      <w:marLeft w:val="0"/>
      <w:marRight w:val="0"/>
      <w:marTop w:val="0"/>
      <w:marBottom w:val="0"/>
      <w:divBdr>
        <w:top w:val="none" w:sz="0" w:space="0" w:color="auto"/>
        <w:left w:val="none" w:sz="0" w:space="0" w:color="auto"/>
        <w:bottom w:val="none" w:sz="0" w:space="0" w:color="auto"/>
        <w:right w:val="none" w:sz="0" w:space="0" w:color="auto"/>
      </w:divBdr>
    </w:div>
    <w:div w:id="418018046">
      <w:bodyDiv w:val="1"/>
      <w:marLeft w:val="0"/>
      <w:marRight w:val="0"/>
      <w:marTop w:val="0"/>
      <w:marBottom w:val="0"/>
      <w:divBdr>
        <w:top w:val="none" w:sz="0" w:space="0" w:color="auto"/>
        <w:left w:val="none" w:sz="0" w:space="0" w:color="auto"/>
        <w:bottom w:val="none" w:sz="0" w:space="0" w:color="auto"/>
        <w:right w:val="none" w:sz="0" w:space="0" w:color="auto"/>
      </w:divBdr>
    </w:div>
    <w:div w:id="429545084">
      <w:bodyDiv w:val="1"/>
      <w:marLeft w:val="0"/>
      <w:marRight w:val="0"/>
      <w:marTop w:val="0"/>
      <w:marBottom w:val="0"/>
      <w:divBdr>
        <w:top w:val="none" w:sz="0" w:space="0" w:color="auto"/>
        <w:left w:val="none" w:sz="0" w:space="0" w:color="auto"/>
        <w:bottom w:val="none" w:sz="0" w:space="0" w:color="auto"/>
        <w:right w:val="none" w:sz="0" w:space="0" w:color="auto"/>
      </w:divBdr>
      <w:divsChild>
        <w:div w:id="601183402">
          <w:marLeft w:val="0"/>
          <w:marRight w:val="0"/>
          <w:marTop w:val="0"/>
          <w:marBottom w:val="0"/>
          <w:divBdr>
            <w:top w:val="none" w:sz="0" w:space="0" w:color="auto"/>
            <w:left w:val="none" w:sz="0" w:space="0" w:color="auto"/>
            <w:bottom w:val="none" w:sz="0" w:space="0" w:color="auto"/>
            <w:right w:val="none" w:sz="0" w:space="0" w:color="auto"/>
          </w:divBdr>
        </w:div>
      </w:divsChild>
    </w:div>
    <w:div w:id="477963010">
      <w:bodyDiv w:val="1"/>
      <w:marLeft w:val="0"/>
      <w:marRight w:val="0"/>
      <w:marTop w:val="0"/>
      <w:marBottom w:val="0"/>
      <w:divBdr>
        <w:top w:val="none" w:sz="0" w:space="0" w:color="auto"/>
        <w:left w:val="none" w:sz="0" w:space="0" w:color="auto"/>
        <w:bottom w:val="none" w:sz="0" w:space="0" w:color="auto"/>
        <w:right w:val="none" w:sz="0" w:space="0" w:color="auto"/>
      </w:divBdr>
    </w:div>
    <w:div w:id="494222748">
      <w:bodyDiv w:val="1"/>
      <w:marLeft w:val="0"/>
      <w:marRight w:val="0"/>
      <w:marTop w:val="0"/>
      <w:marBottom w:val="0"/>
      <w:divBdr>
        <w:top w:val="none" w:sz="0" w:space="0" w:color="auto"/>
        <w:left w:val="none" w:sz="0" w:space="0" w:color="auto"/>
        <w:bottom w:val="none" w:sz="0" w:space="0" w:color="auto"/>
        <w:right w:val="none" w:sz="0" w:space="0" w:color="auto"/>
      </w:divBdr>
    </w:div>
    <w:div w:id="497303884">
      <w:bodyDiv w:val="1"/>
      <w:marLeft w:val="0"/>
      <w:marRight w:val="0"/>
      <w:marTop w:val="0"/>
      <w:marBottom w:val="0"/>
      <w:divBdr>
        <w:top w:val="none" w:sz="0" w:space="0" w:color="auto"/>
        <w:left w:val="none" w:sz="0" w:space="0" w:color="auto"/>
        <w:bottom w:val="none" w:sz="0" w:space="0" w:color="auto"/>
        <w:right w:val="none" w:sz="0" w:space="0" w:color="auto"/>
      </w:divBdr>
    </w:div>
    <w:div w:id="507215189">
      <w:bodyDiv w:val="1"/>
      <w:marLeft w:val="0"/>
      <w:marRight w:val="0"/>
      <w:marTop w:val="0"/>
      <w:marBottom w:val="0"/>
      <w:divBdr>
        <w:top w:val="none" w:sz="0" w:space="0" w:color="auto"/>
        <w:left w:val="none" w:sz="0" w:space="0" w:color="auto"/>
        <w:bottom w:val="none" w:sz="0" w:space="0" w:color="auto"/>
        <w:right w:val="none" w:sz="0" w:space="0" w:color="auto"/>
      </w:divBdr>
    </w:div>
    <w:div w:id="533495563">
      <w:bodyDiv w:val="1"/>
      <w:marLeft w:val="0"/>
      <w:marRight w:val="0"/>
      <w:marTop w:val="0"/>
      <w:marBottom w:val="0"/>
      <w:divBdr>
        <w:top w:val="none" w:sz="0" w:space="0" w:color="auto"/>
        <w:left w:val="none" w:sz="0" w:space="0" w:color="auto"/>
        <w:bottom w:val="none" w:sz="0" w:space="0" w:color="auto"/>
        <w:right w:val="none" w:sz="0" w:space="0" w:color="auto"/>
      </w:divBdr>
    </w:div>
    <w:div w:id="552623411">
      <w:bodyDiv w:val="1"/>
      <w:marLeft w:val="0"/>
      <w:marRight w:val="0"/>
      <w:marTop w:val="0"/>
      <w:marBottom w:val="0"/>
      <w:divBdr>
        <w:top w:val="none" w:sz="0" w:space="0" w:color="auto"/>
        <w:left w:val="none" w:sz="0" w:space="0" w:color="auto"/>
        <w:bottom w:val="none" w:sz="0" w:space="0" w:color="auto"/>
        <w:right w:val="none" w:sz="0" w:space="0" w:color="auto"/>
      </w:divBdr>
    </w:div>
    <w:div w:id="567770525">
      <w:bodyDiv w:val="1"/>
      <w:marLeft w:val="0"/>
      <w:marRight w:val="0"/>
      <w:marTop w:val="0"/>
      <w:marBottom w:val="0"/>
      <w:divBdr>
        <w:top w:val="none" w:sz="0" w:space="0" w:color="auto"/>
        <w:left w:val="none" w:sz="0" w:space="0" w:color="auto"/>
        <w:bottom w:val="none" w:sz="0" w:space="0" w:color="auto"/>
        <w:right w:val="none" w:sz="0" w:space="0" w:color="auto"/>
      </w:divBdr>
    </w:div>
    <w:div w:id="577011411">
      <w:bodyDiv w:val="1"/>
      <w:marLeft w:val="0"/>
      <w:marRight w:val="0"/>
      <w:marTop w:val="0"/>
      <w:marBottom w:val="0"/>
      <w:divBdr>
        <w:top w:val="none" w:sz="0" w:space="0" w:color="auto"/>
        <w:left w:val="none" w:sz="0" w:space="0" w:color="auto"/>
        <w:bottom w:val="none" w:sz="0" w:space="0" w:color="auto"/>
        <w:right w:val="none" w:sz="0" w:space="0" w:color="auto"/>
      </w:divBdr>
    </w:div>
    <w:div w:id="594167020">
      <w:bodyDiv w:val="1"/>
      <w:marLeft w:val="0"/>
      <w:marRight w:val="0"/>
      <w:marTop w:val="0"/>
      <w:marBottom w:val="0"/>
      <w:divBdr>
        <w:top w:val="none" w:sz="0" w:space="0" w:color="auto"/>
        <w:left w:val="none" w:sz="0" w:space="0" w:color="auto"/>
        <w:bottom w:val="none" w:sz="0" w:space="0" w:color="auto"/>
        <w:right w:val="none" w:sz="0" w:space="0" w:color="auto"/>
      </w:divBdr>
    </w:div>
    <w:div w:id="604927456">
      <w:bodyDiv w:val="1"/>
      <w:marLeft w:val="0"/>
      <w:marRight w:val="0"/>
      <w:marTop w:val="0"/>
      <w:marBottom w:val="0"/>
      <w:divBdr>
        <w:top w:val="none" w:sz="0" w:space="0" w:color="auto"/>
        <w:left w:val="none" w:sz="0" w:space="0" w:color="auto"/>
        <w:bottom w:val="none" w:sz="0" w:space="0" w:color="auto"/>
        <w:right w:val="none" w:sz="0" w:space="0" w:color="auto"/>
      </w:divBdr>
    </w:div>
    <w:div w:id="606229569">
      <w:bodyDiv w:val="1"/>
      <w:marLeft w:val="0"/>
      <w:marRight w:val="0"/>
      <w:marTop w:val="0"/>
      <w:marBottom w:val="0"/>
      <w:divBdr>
        <w:top w:val="none" w:sz="0" w:space="0" w:color="auto"/>
        <w:left w:val="none" w:sz="0" w:space="0" w:color="auto"/>
        <w:bottom w:val="none" w:sz="0" w:space="0" w:color="auto"/>
        <w:right w:val="none" w:sz="0" w:space="0" w:color="auto"/>
      </w:divBdr>
    </w:div>
    <w:div w:id="618607259">
      <w:bodyDiv w:val="1"/>
      <w:marLeft w:val="0"/>
      <w:marRight w:val="0"/>
      <w:marTop w:val="0"/>
      <w:marBottom w:val="0"/>
      <w:divBdr>
        <w:top w:val="none" w:sz="0" w:space="0" w:color="auto"/>
        <w:left w:val="none" w:sz="0" w:space="0" w:color="auto"/>
        <w:bottom w:val="none" w:sz="0" w:space="0" w:color="auto"/>
        <w:right w:val="none" w:sz="0" w:space="0" w:color="auto"/>
      </w:divBdr>
      <w:divsChild>
        <w:div w:id="109908427">
          <w:marLeft w:val="0"/>
          <w:marRight w:val="0"/>
          <w:marTop w:val="0"/>
          <w:marBottom w:val="0"/>
          <w:divBdr>
            <w:top w:val="none" w:sz="0" w:space="0" w:color="auto"/>
            <w:left w:val="none" w:sz="0" w:space="0" w:color="auto"/>
            <w:bottom w:val="none" w:sz="0" w:space="0" w:color="auto"/>
            <w:right w:val="none" w:sz="0" w:space="0" w:color="auto"/>
          </w:divBdr>
        </w:div>
        <w:div w:id="561600588">
          <w:marLeft w:val="0"/>
          <w:marRight w:val="0"/>
          <w:marTop w:val="0"/>
          <w:marBottom w:val="0"/>
          <w:divBdr>
            <w:top w:val="none" w:sz="0" w:space="0" w:color="auto"/>
            <w:left w:val="none" w:sz="0" w:space="0" w:color="auto"/>
            <w:bottom w:val="none" w:sz="0" w:space="0" w:color="auto"/>
            <w:right w:val="none" w:sz="0" w:space="0" w:color="auto"/>
          </w:divBdr>
        </w:div>
      </w:divsChild>
    </w:div>
    <w:div w:id="622420414">
      <w:bodyDiv w:val="1"/>
      <w:marLeft w:val="0"/>
      <w:marRight w:val="0"/>
      <w:marTop w:val="0"/>
      <w:marBottom w:val="0"/>
      <w:divBdr>
        <w:top w:val="none" w:sz="0" w:space="0" w:color="auto"/>
        <w:left w:val="none" w:sz="0" w:space="0" w:color="auto"/>
        <w:bottom w:val="none" w:sz="0" w:space="0" w:color="auto"/>
        <w:right w:val="none" w:sz="0" w:space="0" w:color="auto"/>
      </w:divBdr>
    </w:div>
    <w:div w:id="642122528">
      <w:bodyDiv w:val="1"/>
      <w:marLeft w:val="0"/>
      <w:marRight w:val="0"/>
      <w:marTop w:val="0"/>
      <w:marBottom w:val="0"/>
      <w:divBdr>
        <w:top w:val="none" w:sz="0" w:space="0" w:color="auto"/>
        <w:left w:val="none" w:sz="0" w:space="0" w:color="auto"/>
        <w:bottom w:val="none" w:sz="0" w:space="0" w:color="auto"/>
        <w:right w:val="none" w:sz="0" w:space="0" w:color="auto"/>
      </w:divBdr>
    </w:div>
    <w:div w:id="645864481">
      <w:bodyDiv w:val="1"/>
      <w:marLeft w:val="0"/>
      <w:marRight w:val="0"/>
      <w:marTop w:val="0"/>
      <w:marBottom w:val="0"/>
      <w:divBdr>
        <w:top w:val="none" w:sz="0" w:space="0" w:color="auto"/>
        <w:left w:val="none" w:sz="0" w:space="0" w:color="auto"/>
        <w:bottom w:val="none" w:sz="0" w:space="0" w:color="auto"/>
        <w:right w:val="none" w:sz="0" w:space="0" w:color="auto"/>
      </w:divBdr>
    </w:div>
    <w:div w:id="661659563">
      <w:bodyDiv w:val="1"/>
      <w:marLeft w:val="0"/>
      <w:marRight w:val="0"/>
      <w:marTop w:val="0"/>
      <w:marBottom w:val="0"/>
      <w:divBdr>
        <w:top w:val="none" w:sz="0" w:space="0" w:color="auto"/>
        <w:left w:val="none" w:sz="0" w:space="0" w:color="auto"/>
        <w:bottom w:val="none" w:sz="0" w:space="0" w:color="auto"/>
        <w:right w:val="none" w:sz="0" w:space="0" w:color="auto"/>
      </w:divBdr>
    </w:div>
    <w:div w:id="663776425">
      <w:bodyDiv w:val="1"/>
      <w:marLeft w:val="0"/>
      <w:marRight w:val="0"/>
      <w:marTop w:val="0"/>
      <w:marBottom w:val="0"/>
      <w:divBdr>
        <w:top w:val="none" w:sz="0" w:space="0" w:color="auto"/>
        <w:left w:val="none" w:sz="0" w:space="0" w:color="auto"/>
        <w:bottom w:val="none" w:sz="0" w:space="0" w:color="auto"/>
        <w:right w:val="none" w:sz="0" w:space="0" w:color="auto"/>
      </w:divBdr>
    </w:div>
    <w:div w:id="671177436">
      <w:bodyDiv w:val="1"/>
      <w:marLeft w:val="0"/>
      <w:marRight w:val="0"/>
      <w:marTop w:val="0"/>
      <w:marBottom w:val="0"/>
      <w:divBdr>
        <w:top w:val="none" w:sz="0" w:space="0" w:color="auto"/>
        <w:left w:val="none" w:sz="0" w:space="0" w:color="auto"/>
        <w:bottom w:val="none" w:sz="0" w:space="0" w:color="auto"/>
        <w:right w:val="none" w:sz="0" w:space="0" w:color="auto"/>
      </w:divBdr>
    </w:div>
    <w:div w:id="698552847">
      <w:bodyDiv w:val="1"/>
      <w:marLeft w:val="0"/>
      <w:marRight w:val="0"/>
      <w:marTop w:val="0"/>
      <w:marBottom w:val="0"/>
      <w:divBdr>
        <w:top w:val="none" w:sz="0" w:space="0" w:color="auto"/>
        <w:left w:val="none" w:sz="0" w:space="0" w:color="auto"/>
        <w:bottom w:val="none" w:sz="0" w:space="0" w:color="auto"/>
        <w:right w:val="none" w:sz="0" w:space="0" w:color="auto"/>
      </w:divBdr>
    </w:div>
    <w:div w:id="710881019">
      <w:bodyDiv w:val="1"/>
      <w:marLeft w:val="0"/>
      <w:marRight w:val="0"/>
      <w:marTop w:val="0"/>
      <w:marBottom w:val="0"/>
      <w:divBdr>
        <w:top w:val="none" w:sz="0" w:space="0" w:color="auto"/>
        <w:left w:val="none" w:sz="0" w:space="0" w:color="auto"/>
        <w:bottom w:val="none" w:sz="0" w:space="0" w:color="auto"/>
        <w:right w:val="none" w:sz="0" w:space="0" w:color="auto"/>
      </w:divBdr>
      <w:divsChild>
        <w:div w:id="1562983697">
          <w:marLeft w:val="0"/>
          <w:marRight w:val="0"/>
          <w:marTop w:val="0"/>
          <w:marBottom w:val="0"/>
          <w:divBdr>
            <w:top w:val="none" w:sz="0" w:space="0" w:color="auto"/>
            <w:left w:val="none" w:sz="0" w:space="0" w:color="auto"/>
            <w:bottom w:val="none" w:sz="0" w:space="0" w:color="auto"/>
            <w:right w:val="none" w:sz="0" w:space="0" w:color="auto"/>
          </w:divBdr>
          <w:divsChild>
            <w:div w:id="720206358">
              <w:marLeft w:val="0"/>
              <w:marRight w:val="0"/>
              <w:marTop w:val="120"/>
              <w:marBottom w:val="0"/>
              <w:divBdr>
                <w:top w:val="none" w:sz="0" w:space="0" w:color="auto"/>
                <w:left w:val="none" w:sz="0" w:space="0" w:color="auto"/>
                <w:bottom w:val="none" w:sz="0" w:space="0" w:color="auto"/>
                <w:right w:val="none" w:sz="0" w:space="0" w:color="auto"/>
              </w:divBdr>
              <w:divsChild>
                <w:div w:id="1410080574">
                  <w:marLeft w:val="0"/>
                  <w:marRight w:val="0"/>
                  <w:marTop w:val="0"/>
                  <w:marBottom w:val="0"/>
                  <w:divBdr>
                    <w:top w:val="none" w:sz="0" w:space="0" w:color="auto"/>
                    <w:left w:val="none" w:sz="0" w:space="0" w:color="auto"/>
                    <w:bottom w:val="none" w:sz="0" w:space="0" w:color="auto"/>
                    <w:right w:val="none" w:sz="0" w:space="0" w:color="auto"/>
                  </w:divBdr>
                  <w:divsChild>
                    <w:div w:id="81711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250643">
          <w:marLeft w:val="0"/>
          <w:marRight w:val="0"/>
          <w:marTop w:val="0"/>
          <w:marBottom w:val="0"/>
          <w:divBdr>
            <w:top w:val="none" w:sz="0" w:space="0" w:color="auto"/>
            <w:left w:val="none" w:sz="0" w:space="0" w:color="auto"/>
            <w:bottom w:val="none" w:sz="0" w:space="0" w:color="auto"/>
            <w:right w:val="none" w:sz="0" w:space="0" w:color="auto"/>
          </w:divBdr>
          <w:divsChild>
            <w:div w:id="132370454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15279107">
      <w:bodyDiv w:val="1"/>
      <w:marLeft w:val="0"/>
      <w:marRight w:val="0"/>
      <w:marTop w:val="0"/>
      <w:marBottom w:val="0"/>
      <w:divBdr>
        <w:top w:val="none" w:sz="0" w:space="0" w:color="auto"/>
        <w:left w:val="none" w:sz="0" w:space="0" w:color="auto"/>
        <w:bottom w:val="none" w:sz="0" w:space="0" w:color="auto"/>
        <w:right w:val="none" w:sz="0" w:space="0" w:color="auto"/>
      </w:divBdr>
    </w:div>
    <w:div w:id="717438986">
      <w:bodyDiv w:val="1"/>
      <w:marLeft w:val="0"/>
      <w:marRight w:val="0"/>
      <w:marTop w:val="0"/>
      <w:marBottom w:val="0"/>
      <w:divBdr>
        <w:top w:val="none" w:sz="0" w:space="0" w:color="auto"/>
        <w:left w:val="none" w:sz="0" w:space="0" w:color="auto"/>
        <w:bottom w:val="none" w:sz="0" w:space="0" w:color="auto"/>
        <w:right w:val="none" w:sz="0" w:space="0" w:color="auto"/>
      </w:divBdr>
    </w:div>
    <w:div w:id="737437910">
      <w:bodyDiv w:val="1"/>
      <w:marLeft w:val="0"/>
      <w:marRight w:val="0"/>
      <w:marTop w:val="0"/>
      <w:marBottom w:val="0"/>
      <w:divBdr>
        <w:top w:val="none" w:sz="0" w:space="0" w:color="auto"/>
        <w:left w:val="none" w:sz="0" w:space="0" w:color="auto"/>
        <w:bottom w:val="none" w:sz="0" w:space="0" w:color="auto"/>
        <w:right w:val="none" w:sz="0" w:space="0" w:color="auto"/>
      </w:divBdr>
    </w:div>
    <w:div w:id="743769342">
      <w:bodyDiv w:val="1"/>
      <w:marLeft w:val="0"/>
      <w:marRight w:val="0"/>
      <w:marTop w:val="0"/>
      <w:marBottom w:val="0"/>
      <w:divBdr>
        <w:top w:val="none" w:sz="0" w:space="0" w:color="auto"/>
        <w:left w:val="none" w:sz="0" w:space="0" w:color="auto"/>
        <w:bottom w:val="none" w:sz="0" w:space="0" w:color="auto"/>
        <w:right w:val="none" w:sz="0" w:space="0" w:color="auto"/>
      </w:divBdr>
    </w:div>
    <w:div w:id="753816435">
      <w:bodyDiv w:val="1"/>
      <w:marLeft w:val="0"/>
      <w:marRight w:val="0"/>
      <w:marTop w:val="0"/>
      <w:marBottom w:val="0"/>
      <w:divBdr>
        <w:top w:val="none" w:sz="0" w:space="0" w:color="auto"/>
        <w:left w:val="none" w:sz="0" w:space="0" w:color="auto"/>
        <w:bottom w:val="none" w:sz="0" w:space="0" w:color="auto"/>
        <w:right w:val="none" w:sz="0" w:space="0" w:color="auto"/>
      </w:divBdr>
    </w:div>
    <w:div w:id="760565733">
      <w:bodyDiv w:val="1"/>
      <w:marLeft w:val="0"/>
      <w:marRight w:val="0"/>
      <w:marTop w:val="0"/>
      <w:marBottom w:val="0"/>
      <w:divBdr>
        <w:top w:val="none" w:sz="0" w:space="0" w:color="auto"/>
        <w:left w:val="none" w:sz="0" w:space="0" w:color="auto"/>
        <w:bottom w:val="none" w:sz="0" w:space="0" w:color="auto"/>
        <w:right w:val="none" w:sz="0" w:space="0" w:color="auto"/>
      </w:divBdr>
    </w:div>
    <w:div w:id="775247276">
      <w:bodyDiv w:val="1"/>
      <w:marLeft w:val="0"/>
      <w:marRight w:val="0"/>
      <w:marTop w:val="0"/>
      <w:marBottom w:val="0"/>
      <w:divBdr>
        <w:top w:val="none" w:sz="0" w:space="0" w:color="auto"/>
        <w:left w:val="none" w:sz="0" w:space="0" w:color="auto"/>
        <w:bottom w:val="none" w:sz="0" w:space="0" w:color="auto"/>
        <w:right w:val="none" w:sz="0" w:space="0" w:color="auto"/>
      </w:divBdr>
    </w:div>
    <w:div w:id="788162818">
      <w:bodyDiv w:val="1"/>
      <w:marLeft w:val="0"/>
      <w:marRight w:val="0"/>
      <w:marTop w:val="0"/>
      <w:marBottom w:val="0"/>
      <w:divBdr>
        <w:top w:val="none" w:sz="0" w:space="0" w:color="auto"/>
        <w:left w:val="none" w:sz="0" w:space="0" w:color="auto"/>
        <w:bottom w:val="none" w:sz="0" w:space="0" w:color="auto"/>
        <w:right w:val="none" w:sz="0" w:space="0" w:color="auto"/>
      </w:divBdr>
    </w:div>
    <w:div w:id="823472239">
      <w:bodyDiv w:val="1"/>
      <w:marLeft w:val="0"/>
      <w:marRight w:val="0"/>
      <w:marTop w:val="0"/>
      <w:marBottom w:val="0"/>
      <w:divBdr>
        <w:top w:val="none" w:sz="0" w:space="0" w:color="auto"/>
        <w:left w:val="none" w:sz="0" w:space="0" w:color="auto"/>
        <w:bottom w:val="none" w:sz="0" w:space="0" w:color="auto"/>
        <w:right w:val="none" w:sz="0" w:space="0" w:color="auto"/>
      </w:divBdr>
    </w:div>
    <w:div w:id="823811289">
      <w:bodyDiv w:val="1"/>
      <w:marLeft w:val="0"/>
      <w:marRight w:val="0"/>
      <w:marTop w:val="0"/>
      <w:marBottom w:val="0"/>
      <w:divBdr>
        <w:top w:val="none" w:sz="0" w:space="0" w:color="auto"/>
        <w:left w:val="none" w:sz="0" w:space="0" w:color="auto"/>
        <w:bottom w:val="none" w:sz="0" w:space="0" w:color="auto"/>
        <w:right w:val="none" w:sz="0" w:space="0" w:color="auto"/>
      </w:divBdr>
    </w:div>
    <w:div w:id="844246621">
      <w:bodyDiv w:val="1"/>
      <w:marLeft w:val="0"/>
      <w:marRight w:val="0"/>
      <w:marTop w:val="0"/>
      <w:marBottom w:val="0"/>
      <w:divBdr>
        <w:top w:val="none" w:sz="0" w:space="0" w:color="auto"/>
        <w:left w:val="none" w:sz="0" w:space="0" w:color="auto"/>
        <w:bottom w:val="none" w:sz="0" w:space="0" w:color="auto"/>
        <w:right w:val="none" w:sz="0" w:space="0" w:color="auto"/>
      </w:divBdr>
    </w:div>
    <w:div w:id="879590876">
      <w:bodyDiv w:val="1"/>
      <w:marLeft w:val="0"/>
      <w:marRight w:val="0"/>
      <w:marTop w:val="0"/>
      <w:marBottom w:val="0"/>
      <w:divBdr>
        <w:top w:val="none" w:sz="0" w:space="0" w:color="auto"/>
        <w:left w:val="none" w:sz="0" w:space="0" w:color="auto"/>
        <w:bottom w:val="none" w:sz="0" w:space="0" w:color="auto"/>
        <w:right w:val="none" w:sz="0" w:space="0" w:color="auto"/>
      </w:divBdr>
    </w:div>
    <w:div w:id="893538720">
      <w:bodyDiv w:val="1"/>
      <w:marLeft w:val="0"/>
      <w:marRight w:val="0"/>
      <w:marTop w:val="0"/>
      <w:marBottom w:val="0"/>
      <w:divBdr>
        <w:top w:val="none" w:sz="0" w:space="0" w:color="auto"/>
        <w:left w:val="none" w:sz="0" w:space="0" w:color="auto"/>
        <w:bottom w:val="none" w:sz="0" w:space="0" w:color="auto"/>
        <w:right w:val="none" w:sz="0" w:space="0" w:color="auto"/>
      </w:divBdr>
    </w:div>
    <w:div w:id="918442561">
      <w:bodyDiv w:val="1"/>
      <w:marLeft w:val="0"/>
      <w:marRight w:val="0"/>
      <w:marTop w:val="0"/>
      <w:marBottom w:val="0"/>
      <w:divBdr>
        <w:top w:val="none" w:sz="0" w:space="0" w:color="auto"/>
        <w:left w:val="none" w:sz="0" w:space="0" w:color="auto"/>
        <w:bottom w:val="none" w:sz="0" w:space="0" w:color="auto"/>
        <w:right w:val="none" w:sz="0" w:space="0" w:color="auto"/>
      </w:divBdr>
    </w:div>
    <w:div w:id="952132360">
      <w:bodyDiv w:val="1"/>
      <w:marLeft w:val="0"/>
      <w:marRight w:val="0"/>
      <w:marTop w:val="0"/>
      <w:marBottom w:val="0"/>
      <w:divBdr>
        <w:top w:val="none" w:sz="0" w:space="0" w:color="auto"/>
        <w:left w:val="none" w:sz="0" w:space="0" w:color="auto"/>
        <w:bottom w:val="none" w:sz="0" w:space="0" w:color="auto"/>
        <w:right w:val="none" w:sz="0" w:space="0" w:color="auto"/>
      </w:divBdr>
    </w:div>
    <w:div w:id="1008021570">
      <w:bodyDiv w:val="1"/>
      <w:marLeft w:val="0"/>
      <w:marRight w:val="0"/>
      <w:marTop w:val="0"/>
      <w:marBottom w:val="0"/>
      <w:divBdr>
        <w:top w:val="none" w:sz="0" w:space="0" w:color="auto"/>
        <w:left w:val="none" w:sz="0" w:space="0" w:color="auto"/>
        <w:bottom w:val="none" w:sz="0" w:space="0" w:color="auto"/>
        <w:right w:val="none" w:sz="0" w:space="0" w:color="auto"/>
      </w:divBdr>
    </w:div>
    <w:div w:id="1013994539">
      <w:bodyDiv w:val="1"/>
      <w:marLeft w:val="0"/>
      <w:marRight w:val="0"/>
      <w:marTop w:val="0"/>
      <w:marBottom w:val="0"/>
      <w:divBdr>
        <w:top w:val="none" w:sz="0" w:space="0" w:color="auto"/>
        <w:left w:val="none" w:sz="0" w:space="0" w:color="auto"/>
        <w:bottom w:val="none" w:sz="0" w:space="0" w:color="auto"/>
        <w:right w:val="none" w:sz="0" w:space="0" w:color="auto"/>
      </w:divBdr>
    </w:div>
    <w:div w:id="1018122513">
      <w:bodyDiv w:val="1"/>
      <w:marLeft w:val="0"/>
      <w:marRight w:val="0"/>
      <w:marTop w:val="0"/>
      <w:marBottom w:val="0"/>
      <w:divBdr>
        <w:top w:val="none" w:sz="0" w:space="0" w:color="auto"/>
        <w:left w:val="none" w:sz="0" w:space="0" w:color="auto"/>
        <w:bottom w:val="none" w:sz="0" w:space="0" w:color="auto"/>
        <w:right w:val="none" w:sz="0" w:space="0" w:color="auto"/>
      </w:divBdr>
    </w:div>
    <w:div w:id="1042512972">
      <w:bodyDiv w:val="1"/>
      <w:marLeft w:val="0"/>
      <w:marRight w:val="0"/>
      <w:marTop w:val="0"/>
      <w:marBottom w:val="0"/>
      <w:divBdr>
        <w:top w:val="none" w:sz="0" w:space="0" w:color="auto"/>
        <w:left w:val="none" w:sz="0" w:space="0" w:color="auto"/>
        <w:bottom w:val="none" w:sz="0" w:space="0" w:color="auto"/>
        <w:right w:val="none" w:sz="0" w:space="0" w:color="auto"/>
      </w:divBdr>
    </w:div>
    <w:div w:id="1043560947">
      <w:bodyDiv w:val="1"/>
      <w:marLeft w:val="0"/>
      <w:marRight w:val="0"/>
      <w:marTop w:val="0"/>
      <w:marBottom w:val="0"/>
      <w:divBdr>
        <w:top w:val="none" w:sz="0" w:space="0" w:color="auto"/>
        <w:left w:val="none" w:sz="0" w:space="0" w:color="auto"/>
        <w:bottom w:val="none" w:sz="0" w:space="0" w:color="auto"/>
        <w:right w:val="none" w:sz="0" w:space="0" w:color="auto"/>
      </w:divBdr>
    </w:div>
    <w:div w:id="1047611005">
      <w:bodyDiv w:val="1"/>
      <w:marLeft w:val="0"/>
      <w:marRight w:val="0"/>
      <w:marTop w:val="0"/>
      <w:marBottom w:val="0"/>
      <w:divBdr>
        <w:top w:val="none" w:sz="0" w:space="0" w:color="auto"/>
        <w:left w:val="none" w:sz="0" w:space="0" w:color="auto"/>
        <w:bottom w:val="none" w:sz="0" w:space="0" w:color="auto"/>
        <w:right w:val="none" w:sz="0" w:space="0" w:color="auto"/>
      </w:divBdr>
    </w:div>
    <w:div w:id="1096907310">
      <w:bodyDiv w:val="1"/>
      <w:marLeft w:val="0"/>
      <w:marRight w:val="0"/>
      <w:marTop w:val="0"/>
      <w:marBottom w:val="0"/>
      <w:divBdr>
        <w:top w:val="none" w:sz="0" w:space="0" w:color="auto"/>
        <w:left w:val="none" w:sz="0" w:space="0" w:color="auto"/>
        <w:bottom w:val="none" w:sz="0" w:space="0" w:color="auto"/>
        <w:right w:val="none" w:sz="0" w:space="0" w:color="auto"/>
      </w:divBdr>
    </w:div>
    <w:div w:id="1099522889">
      <w:bodyDiv w:val="1"/>
      <w:marLeft w:val="0"/>
      <w:marRight w:val="0"/>
      <w:marTop w:val="0"/>
      <w:marBottom w:val="0"/>
      <w:divBdr>
        <w:top w:val="none" w:sz="0" w:space="0" w:color="auto"/>
        <w:left w:val="none" w:sz="0" w:space="0" w:color="auto"/>
        <w:bottom w:val="none" w:sz="0" w:space="0" w:color="auto"/>
        <w:right w:val="none" w:sz="0" w:space="0" w:color="auto"/>
      </w:divBdr>
    </w:div>
    <w:div w:id="1102339444">
      <w:bodyDiv w:val="1"/>
      <w:marLeft w:val="0"/>
      <w:marRight w:val="0"/>
      <w:marTop w:val="0"/>
      <w:marBottom w:val="0"/>
      <w:divBdr>
        <w:top w:val="none" w:sz="0" w:space="0" w:color="auto"/>
        <w:left w:val="none" w:sz="0" w:space="0" w:color="auto"/>
        <w:bottom w:val="none" w:sz="0" w:space="0" w:color="auto"/>
        <w:right w:val="none" w:sz="0" w:space="0" w:color="auto"/>
      </w:divBdr>
    </w:div>
    <w:div w:id="1109159934">
      <w:bodyDiv w:val="1"/>
      <w:marLeft w:val="0"/>
      <w:marRight w:val="0"/>
      <w:marTop w:val="0"/>
      <w:marBottom w:val="0"/>
      <w:divBdr>
        <w:top w:val="none" w:sz="0" w:space="0" w:color="auto"/>
        <w:left w:val="none" w:sz="0" w:space="0" w:color="auto"/>
        <w:bottom w:val="none" w:sz="0" w:space="0" w:color="auto"/>
        <w:right w:val="none" w:sz="0" w:space="0" w:color="auto"/>
      </w:divBdr>
    </w:div>
    <w:div w:id="1121458091">
      <w:bodyDiv w:val="1"/>
      <w:marLeft w:val="0"/>
      <w:marRight w:val="0"/>
      <w:marTop w:val="0"/>
      <w:marBottom w:val="0"/>
      <w:divBdr>
        <w:top w:val="none" w:sz="0" w:space="0" w:color="auto"/>
        <w:left w:val="none" w:sz="0" w:space="0" w:color="auto"/>
        <w:bottom w:val="none" w:sz="0" w:space="0" w:color="auto"/>
        <w:right w:val="none" w:sz="0" w:space="0" w:color="auto"/>
      </w:divBdr>
    </w:div>
    <w:div w:id="1133522699">
      <w:bodyDiv w:val="1"/>
      <w:marLeft w:val="0"/>
      <w:marRight w:val="0"/>
      <w:marTop w:val="0"/>
      <w:marBottom w:val="0"/>
      <w:divBdr>
        <w:top w:val="none" w:sz="0" w:space="0" w:color="auto"/>
        <w:left w:val="none" w:sz="0" w:space="0" w:color="auto"/>
        <w:bottom w:val="none" w:sz="0" w:space="0" w:color="auto"/>
        <w:right w:val="none" w:sz="0" w:space="0" w:color="auto"/>
      </w:divBdr>
    </w:div>
    <w:div w:id="1137994308">
      <w:bodyDiv w:val="1"/>
      <w:marLeft w:val="0"/>
      <w:marRight w:val="0"/>
      <w:marTop w:val="0"/>
      <w:marBottom w:val="0"/>
      <w:divBdr>
        <w:top w:val="none" w:sz="0" w:space="0" w:color="auto"/>
        <w:left w:val="none" w:sz="0" w:space="0" w:color="auto"/>
        <w:bottom w:val="none" w:sz="0" w:space="0" w:color="auto"/>
        <w:right w:val="none" w:sz="0" w:space="0" w:color="auto"/>
      </w:divBdr>
    </w:div>
    <w:div w:id="1146777563">
      <w:bodyDiv w:val="1"/>
      <w:marLeft w:val="0"/>
      <w:marRight w:val="0"/>
      <w:marTop w:val="0"/>
      <w:marBottom w:val="0"/>
      <w:divBdr>
        <w:top w:val="none" w:sz="0" w:space="0" w:color="auto"/>
        <w:left w:val="none" w:sz="0" w:space="0" w:color="auto"/>
        <w:bottom w:val="none" w:sz="0" w:space="0" w:color="auto"/>
        <w:right w:val="none" w:sz="0" w:space="0" w:color="auto"/>
      </w:divBdr>
    </w:div>
    <w:div w:id="1184713092">
      <w:bodyDiv w:val="1"/>
      <w:marLeft w:val="0"/>
      <w:marRight w:val="0"/>
      <w:marTop w:val="0"/>
      <w:marBottom w:val="0"/>
      <w:divBdr>
        <w:top w:val="none" w:sz="0" w:space="0" w:color="auto"/>
        <w:left w:val="none" w:sz="0" w:space="0" w:color="auto"/>
        <w:bottom w:val="none" w:sz="0" w:space="0" w:color="auto"/>
        <w:right w:val="none" w:sz="0" w:space="0" w:color="auto"/>
      </w:divBdr>
    </w:div>
    <w:div w:id="1187214107">
      <w:bodyDiv w:val="1"/>
      <w:marLeft w:val="0"/>
      <w:marRight w:val="0"/>
      <w:marTop w:val="0"/>
      <w:marBottom w:val="0"/>
      <w:divBdr>
        <w:top w:val="none" w:sz="0" w:space="0" w:color="auto"/>
        <w:left w:val="none" w:sz="0" w:space="0" w:color="auto"/>
        <w:bottom w:val="none" w:sz="0" w:space="0" w:color="auto"/>
        <w:right w:val="none" w:sz="0" w:space="0" w:color="auto"/>
      </w:divBdr>
    </w:div>
    <w:div w:id="1193223971">
      <w:bodyDiv w:val="1"/>
      <w:marLeft w:val="0"/>
      <w:marRight w:val="0"/>
      <w:marTop w:val="0"/>
      <w:marBottom w:val="0"/>
      <w:divBdr>
        <w:top w:val="none" w:sz="0" w:space="0" w:color="auto"/>
        <w:left w:val="none" w:sz="0" w:space="0" w:color="auto"/>
        <w:bottom w:val="none" w:sz="0" w:space="0" w:color="auto"/>
        <w:right w:val="none" w:sz="0" w:space="0" w:color="auto"/>
      </w:divBdr>
    </w:div>
    <w:div w:id="1206719043">
      <w:bodyDiv w:val="1"/>
      <w:marLeft w:val="0"/>
      <w:marRight w:val="0"/>
      <w:marTop w:val="0"/>
      <w:marBottom w:val="0"/>
      <w:divBdr>
        <w:top w:val="none" w:sz="0" w:space="0" w:color="auto"/>
        <w:left w:val="none" w:sz="0" w:space="0" w:color="auto"/>
        <w:bottom w:val="none" w:sz="0" w:space="0" w:color="auto"/>
        <w:right w:val="none" w:sz="0" w:space="0" w:color="auto"/>
      </w:divBdr>
    </w:div>
    <w:div w:id="1209687181">
      <w:bodyDiv w:val="1"/>
      <w:marLeft w:val="0"/>
      <w:marRight w:val="0"/>
      <w:marTop w:val="0"/>
      <w:marBottom w:val="0"/>
      <w:divBdr>
        <w:top w:val="none" w:sz="0" w:space="0" w:color="auto"/>
        <w:left w:val="none" w:sz="0" w:space="0" w:color="auto"/>
        <w:bottom w:val="none" w:sz="0" w:space="0" w:color="auto"/>
        <w:right w:val="none" w:sz="0" w:space="0" w:color="auto"/>
      </w:divBdr>
    </w:div>
    <w:div w:id="1233199466">
      <w:bodyDiv w:val="1"/>
      <w:marLeft w:val="0"/>
      <w:marRight w:val="0"/>
      <w:marTop w:val="0"/>
      <w:marBottom w:val="0"/>
      <w:divBdr>
        <w:top w:val="none" w:sz="0" w:space="0" w:color="auto"/>
        <w:left w:val="none" w:sz="0" w:space="0" w:color="auto"/>
        <w:bottom w:val="none" w:sz="0" w:space="0" w:color="auto"/>
        <w:right w:val="none" w:sz="0" w:space="0" w:color="auto"/>
      </w:divBdr>
    </w:div>
    <w:div w:id="1239317372">
      <w:bodyDiv w:val="1"/>
      <w:marLeft w:val="0"/>
      <w:marRight w:val="0"/>
      <w:marTop w:val="0"/>
      <w:marBottom w:val="0"/>
      <w:divBdr>
        <w:top w:val="none" w:sz="0" w:space="0" w:color="auto"/>
        <w:left w:val="none" w:sz="0" w:space="0" w:color="auto"/>
        <w:bottom w:val="none" w:sz="0" w:space="0" w:color="auto"/>
        <w:right w:val="none" w:sz="0" w:space="0" w:color="auto"/>
      </w:divBdr>
      <w:divsChild>
        <w:div w:id="870580533">
          <w:marLeft w:val="0"/>
          <w:marRight w:val="0"/>
          <w:marTop w:val="0"/>
          <w:marBottom w:val="0"/>
          <w:divBdr>
            <w:top w:val="none" w:sz="0" w:space="0" w:color="auto"/>
            <w:left w:val="none" w:sz="0" w:space="0" w:color="auto"/>
            <w:bottom w:val="none" w:sz="0" w:space="0" w:color="auto"/>
            <w:right w:val="none" w:sz="0" w:space="0" w:color="auto"/>
          </w:divBdr>
          <w:divsChild>
            <w:div w:id="281763045">
              <w:marLeft w:val="0"/>
              <w:marRight w:val="0"/>
              <w:marTop w:val="0"/>
              <w:marBottom w:val="0"/>
              <w:divBdr>
                <w:top w:val="none" w:sz="0" w:space="0" w:color="auto"/>
                <w:left w:val="none" w:sz="0" w:space="0" w:color="auto"/>
                <w:bottom w:val="none" w:sz="0" w:space="0" w:color="auto"/>
                <w:right w:val="none" w:sz="0" w:space="0" w:color="auto"/>
              </w:divBdr>
            </w:div>
            <w:div w:id="1547595638">
              <w:marLeft w:val="0"/>
              <w:marRight w:val="0"/>
              <w:marTop w:val="0"/>
              <w:marBottom w:val="0"/>
              <w:divBdr>
                <w:top w:val="none" w:sz="0" w:space="0" w:color="auto"/>
                <w:left w:val="none" w:sz="0" w:space="0" w:color="auto"/>
                <w:bottom w:val="none" w:sz="0" w:space="0" w:color="auto"/>
                <w:right w:val="none" w:sz="0" w:space="0" w:color="auto"/>
              </w:divBdr>
            </w:div>
          </w:divsChild>
        </w:div>
        <w:div w:id="1662196687">
          <w:marLeft w:val="0"/>
          <w:marRight w:val="0"/>
          <w:marTop w:val="0"/>
          <w:marBottom w:val="240"/>
          <w:divBdr>
            <w:top w:val="none" w:sz="0" w:space="0" w:color="auto"/>
            <w:left w:val="none" w:sz="0" w:space="0" w:color="auto"/>
            <w:bottom w:val="none" w:sz="0" w:space="0" w:color="auto"/>
            <w:right w:val="none" w:sz="0" w:space="0" w:color="auto"/>
          </w:divBdr>
          <w:divsChild>
            <w:div w:id="1375155767">
              <w:marLeft w:val="0"/>
              <w:marRight w:val="0"/>
              <w:marTop w:val="0"/>
              <w:marBottom w:val="0"/>
              <w:divBdr>
                <w:top w:val="none" w:sz="0" w:space="0" w:color="auto"/>
                <w:left w:val="none" w:sz="0" w:space="0" w:color="auto"/>
                <w:bottom w:val="none" w:sz="0" w:space="0" w:color="auto"/>
                <w:right w:val="none" w:sz="0" w:space="0" w:color="auto"/>
              </w:divBdr>
            </w:div>
          </w:divsChild>
        </w:div>
        <w:div w:id="1714573454">
          <w:marLeft w:val="0"/>
          <w:marRight w:val="0"/>
          <w:marTop w:val="0"/>
          <w:marBottom w:val="0"/>
          <w:divBdr>
            <w:top w:val="none" w:sz="0" w:space="0" w:color="auto"/>
            <w:left w:val="none" w:sz="0" w:space="0" w:color="auto"/>
            <w:bottom w:val="none" w:sz="0" w:space="0" w:color="auto"/>
            <w:right w:val="none" w:sz="0" w:space="0" w:color="auto"/>
          </w:divBdr>
          <w:divsChild>
            <w:div w:id="355037531">
              <w:marLeft w:val="0"/>
              <w:marRight w:val="0"/>
              <w:marTop w:val="0"/>
              <w:marBottom w:val="0"/>
              <w:divBdr>
                <w:top w:val="none" w:sz="0" w:space="0" w:color="auto"/>
                <w:left w:val="none" w:sz="0" w:space="0" w:color="auto"/>
                <w:bottom w:val="none" w:sz="0" w:space="0" w:color="auto"/>
                <w:right w:val="none" w:sz="0" w:space="0" w:color="auto"/>
              </w:divBdr>
            </w:div>
            <w:div w:id="1480196727">
              <w:marLeft w:val="0"/>
              <w:marRight w:val="0"/>
              <w:marTop w:val="0"/>
              <w:marBottom w:val="0"/>
              <w:divBdr>
                <w:top w:val="none" w:sz="0" w:space="0" w:color="auto"/>
                <w:left w:val="none" w:sz="0" w:space="0" w:color="auto"/>
                <w:bottom w:val="none" w:sz="0" w:space="0" w:color="auto"/>
                <w:right w:val="none" w:sz="0" w:space="0" w:color="auto"/>
              </w:divBdr>
            </w:div>
          </w:divsChild>
        </w:div>
        <w:div w:id="1879582016">
          <w:marLeft w:val="0"/>
          <w:marRight w:val="0"/>
          <w:marTop w:val="0"/>
          <w:marBottom w:val="0"/>
          <w:divBdr>
            <w:top w:val="none" w:sz="0" w:space="0" w:color="auto"/>
            <w:left w:val="none" w:sz="0" w:space="0" w:color="auto"/>
            <w:bottom w:val="none" w:sz="0" w:space="0" w:color="auto"/>
            <w:right w:val="none" w:sz="0" w:space="0" w:color="auto"/>
          </w:divBdr>
          <w:divsChild>
            <w:div w:id="66466043">
              <w:marLeft w:val="0"/>
              <w:marRight w:val="0"/>
              <w:marTop w:val="0"/>
              <w:marBottom w:val="0"/>
              <w:divBdr>
                <w:top w:val="none" w:sz="0" w:space="0" w:color="auto"/>
                <w:left w:val="none" w:sz="0" w:space="0" w:color="auto"/>
                <w:bottom w:val="none" w:sz="0" w:space="0" w:color="auto"/>
                <w:right w:val="none" w:sz="0" w:space="0" w:color="auto"/>
              </w:divBdr>
            </w:div>
            <w:div w:id="79640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884021">
      <w:bodyDiv w:val="1"/>
      <w:marLeft w:val="0"/>
      <w:marRight w:val="0"/>
      <w:marTop w:val="0"/>
      <w:marBottom w:val="0"/>
      <w:divBdr>
        <w:top w:val="none" w:sz="0" w:space="0" w:color="auto"/>
        <w:left w:val="none" w:sz="0" w:space="0" w:color="auto"/>
        <w:bottom w:val="none" w:sz="0" w:space="0" w:color="auto"/>
        <w:right w:val="none" w:sz="0" w:space="0" w:color="auto"/>
      </w:divBdr>
    </w:div>
    <w:div w:id="1270432015">
      <w:bodyDiv w:val="1"/>
      <w:marLeft w:val="0"/>
      <w:marRight w:val="0"/>
      <w:marTop w:val="0"/>
      <w:marBottom w:val="0"/>
      <w:divBdr>
        <w:top w:val="none" w:sz="0" w:space="0" w:color="auto"/>
        <w:left w:val="none" w:sz="0" w:space="0" w:color="auto"/>
        <w:bottom w:val="none" w:sz="0" w:space="0" w:color="auto"/>
        <w:right w:val="none" w:sz="0" w:space="0" w:color="auto"/>
      </w:divBdr>
    </w:div>
    <w:div w:id="1273324986">
      <w:bodyDiv w:val="1"/>
      <w:marLeft w:val="0"/>
      <w:marRight w:val="0"/>
      <w:marTop w:val="0"/>
      <w:marBottom w:val="0"/>
      <w:divBdr>
        <w:top w:val="none" w:sz="0" w:space="0" w:color="auto"/>
        <w:left w:val="none" w:sz="0" w:space="0" w:color="auto"/>
        <w:bottom w:val="none" w:sz="0" w:space="0" w:color="auto"/>
        <w:right w:val="none" w:sz="0" w:space="0" w:color="auto"/>
      </w:divBdr>
    </w:div>
    <w:div w:id="1279528898">
      <w:bodyDiv w:val="1"/>
      <w:marLeft w:val="0"/>
      <w:marRight w:val="0"/>
      <w:marTop w:val="0"/>
      <w:marBottom w:val="0"/>
      <w:divBdr>
        <w:top w:val="none" w:sz="0" w:space="0" w:color="auto"/>
        <w:left w:val="none" w:sz="0" w:space="0" w:color="auto"/>
        <w:bottom w:val="none" w:sz="0" w:space="0" w:color="auto"/>
        <w:right w:val="none" w:sz="0" w:space="0" w:color="auto"/>
      </w:divBdr>
    </w:div>
    <w:div w:id="1285311264">
      <w:bodyDiv w:val="1"/>
      <w:marLeft w:val="0"/>
      <w:marRight w:val="0"/>
      <w:marTop w:val="0"/>
      <w:marBottom w:val="0"/>
      <w:divBdr>
        <w:top w:val="none" w:sz="0" w:space="0" w:color="auto"/>
        <w:left w:val="none" w:sz="0" w:space="0" w:color="auto"/>
        <w:bottom w:val="none" w:sz="0" w:space="0" w:color="auto"/>
        <w:right w:val="none" w:sz="0" w:space="0" w:color="auto"/>
      </w:divBdr>
    </w:div>
    <w:div w:id="1288390367">
      <w:bodyDiv w:val="1"/>
      <w:marLeft w:val="0"/>
      <w:marRight w:val="0"/>
      <w:marTop w:val="0"/>
      <w:marBottom w:val="0"/>
      <w:divBdr>
        <w:top w:val="none" w:sz="0" w:space="0" w:color="auto"/>
        <w:left w:val="none" w:sz="0" w:space="0" w:color="auto"/>
        <w:bottom w:val="none" w:sz="0" w:space="0" w:color="auto"/>
        <w:right w:val="none" w:sz="0" w:space="0" w:color="auto"/>
      </w:divBdr>
    </w:div>
    <w:div w:id="1308631790">
      <w:bodyDiv w:val="1"/>
      <w:marLeft w:val="0"/>
      <w:marRight w:val="0"/>
      <w:marTop w:val="0"/>
      <w:marBottom w:val="0"/>
      <w:divBdr>
        <w:top w:val="none" w:sz="0" w:space="0" w:color="auto"/>
        <w:left w:val="none" w:sz="0" w:space="0" w:color="auto"/>
        <w:bottom w:val="none" w:sz="0" w:space="0" w:color="auto"/>
        <w:right w:val="none" w:sz="0" w:space="0" w:color="auto"/>
      </w:divBdr>
    </w:div>
    <w:div w:id="1379428079">
      <w:bodyDiv w:val="1"/>
      <w:marLeft w:val="0"/>
      <w:marRight w:val="0"/>
      <w:marTop w:val="0"/>
      <w:marBottom w:val="0"/>
      <w:divBdr>
        <w:top w:val="none" w:sz="0" w:space="0" w:color="auto"/>
        <w:left w:val="none" w:sz="0" w:space="0" w:color="auto"/>
        <w:bottom w:val="none" w:sz="0" w:space="0" w:color="auto"/>
        <w:right w:val="none" w:sz="0" w:space="0" w:color="auto"/>
      </w:divBdr>
    </w:div>
    <w:div w:id="1388073071">
      <w:bodyDiv w:val="1"/>
      <w:marLeft w:val="0"/>
      <w:marRight w:val="0"/>
      <w:marTop w:val="0"/>
      <w:marBottom w:val="0"/>
      <w:divBdr>
        <w:top w:val="none" w:sz="0" w:space="0" w:color="auto"/>
        <w:left w:val="none" w:sz="0" w:space="0" w:color="auto"/>
        <w:bottom w:val="none" w:sz="0" w:space="0" w:color="auto"/>
        <w:right w:val="none" w:sz="0" w:space="0" w:color="auto"/>
      </w:divBdr>
    </w:div>
    <w:div w:id="1400715708">
      <w:bodyDiv w:val="1"/>
      <w:marLeft w:val="0"/>
      <w:marRight w:val="0"/>
      <w:marTop w:val="0"/>
      <w:marBottom w:val="0"/>
      <w:divBdr>
        <w:top w:val="none" w:sz="0" w:space="0" w:color="auto"/>
        <w:left w:val="none" w:sz="0" w:space="0" w:color="auto"/>
        <w:bottom w:val="none" w:sz="0" w:space="0" w:color="auto"/>
        <w:right w:val="none" w:sz="0" w:space="0" w:color="auto"/>
      </w:divBdr>
      <w:divsChild>
        <w:div w:id="508983102">
          <w:marLeft w:val="0"/>
          <w:marRight w:val="0"/>
          <w:marTop w:val="0"/>
          <w:marBottom w:val="0"/>
          <w:divBdr>
            <w:top w:val="none" w:sz="0" w:space="0" w:color="auto"/>
            <w:left w:val="none" w:sz="0" w:space="0" w:color="auto"/>
            <w:bottom w:val="none" w:sz="0" w:space="0" w:color="auto"/>
            <w:right w:val="none" w:sz="0" w:space="0" w:color="auto"/>
          </w:divBdr>
          <w:divsChild>
            <w:div w:id="68964453">
              <w:marLeft w:val="0"/>
              <w:marRight w:val="0"/>
              <w:marTop w:val="0"/>
              <w:marBottom w:val="0"/>
              <w:divBdr>
                <w:top w:val="none" w:sz="0" w:space="0" w:color="auto"/>
                <w:left w:val="none" w:sz="0" w:space="0" w:color="auto"/>
                <w:bottom w:val="none" w:sz="0" w:space="0" w:color="auto"/>
                <w:right w:val="none" w:sz="0" w:space="0" w:color="auto"/>
              </w:divBdr>
            </w:div>
            <w:div w:id="1390304797">
              <w:marLeft w:val="0"/>
              <w:marRight w:val="0"/>
              <w:marTop w:val="0"/>
              <w:marBottom w:val="0"/>
              <w:divBdr>
                <w:top w:val="none" w:sz="0" w:space="0" w:color="auto"/>
                <w:left w:val="none" w:sz="0" w:space="0" w:color="auto"/>
                <w:bottom w:val="none" w:sz="0" w:space="0" w:color="auto"/>
                <w:right w:val="none" w:sz="0" w:space="0" w:color="auto"/>
              </w:divBdr>
            </w:div>
          </w:divsChild>
        </w:div>
        <w:div w:id="708528306">
          <w:marLeft w:val="0"/>
          <w:marRight w:val="0"/>
          <w:marTop w:val="0"/>
          <w:marBottom w:val="0"/>
          <w:divBdr>
            <w:top w:val="none" w:sz="0" w:space="0" w:color="auto"/>
            <w:left w:val="none" w:sz="0" w:space="0" w:color="auto"/>
            <w:bottom w:val="none" w:sz="0" w:space="0" w:color="auto"/>
            <w:right w:val="none" w:sz="0" w:space="0" w:color="auto"/>
          </w:divBdr>
          <w:divsChild>
            <w:div w:id="651758458">
              <w:marLeft w:val="0"/>
              <w:marRight w:val="0"/>
              <w:marTop w:val="0"/>
              <w:marBottom w:val="0"/>
              <w:divBdr>
                <w:top w:val="none" w:sz="0" w:space="0" w:color="auto"/>
                <w:left w:val="none" w:sz="0" w:space="0" w:color="auto"/>
                <w:bottom w:val="none" w:sz="0" w:space="0" w:color="auto"/>
                <w:right w:val="none" w:sz="0" w:space="0" w:color="auto"/>
              </w:divBdr>
            </w:div>
            <w:div w:id="1653633824">
              <w:marLeft w:val="0"/>
              <w:marRight w:val="0"/>
              <w:marTop w:val="0"/>
              <w:marBottom w:val="0"/>
              <w:divBdr>
                <w:top w:val="none" w:sz="0" w:space="0" w:color="auto"/>
                <w:left w:val="none" w:sz="0" w:space="0" w:color="auto"/>
                <w:bottom w:val="none" w:sz="0" w:space="0" w:color="auto"/>
                <w:right w:val="none" w:sz="0" w:space="0" w:color="auto"/>
              </w:divBdr>
            </w:div>
          </w:divsChild>
        </w:div>
        <w:div w:id="858350216">
          <w:marLeft w:val="0"/>
          <w:marRight w:val="0"/>
          <w:marTop w:val="0"/>
          <w:marBottom w:val="240"/>
          <w:divBdr>
            <w:top w:val="none" w:sz="0" w:space="0" w:color="auto"/>
            <w:left w:val="none" w:sz="0" w:space="0" w:color="auto"/>
            <w:bottom w:val="none" w:sz="0" w:space="0" w:color="auto"/>
            <w:right w:val="none" w:sz="0" w:space="0" w:color="auto"/>
          </w:divBdr>
          <w:divsChild>
            <w:div w:id="2058895786">
              <w:marLeft w:val="0"/>
              <w:marRight w:val="0"/>
              <w:marTop w:val="0"/>
              <w:marBottom w:val="0"/>
              <w:divBdr>
                <w:top w:val="none" w:sz="0" w:space="0" w:color="auto"/>
                <w:left w:val="none" w:sz="0" w:space="0" w:color="auto"/>
                <w:bottom w:val="none" w:sz="0" w:space="0" w:color="auto"/>
                <w:right w:val="none" w:sz="0" w:space="0" w:color="auto"/>
              </w:divBdr>
            </w:div>
          </w:divsChild>
        </w:div>
        <w:div w:id="1790005900">
          <w:marLeft w:val="0"/>
          <w:marRight w:val="0"/>
          <w:marTop w:val="0"/>
          <w:marBottom w:val="0"/>
          <w:divBdr>
            <w:top w:val="none" w:sz="0" w:space="0" w:color="auto"/>
            <w:left w:val="none" w:sz="0" w:space="0" w:color="auto"/>
            <w:bottom w:val="none" w:sz="0" w:space="0" w:color="auto"/>
            <w:right w:val="none" w:sz="0" w:space="0" w:color="auto"/>
          </w:divBdr>
          <w:divsChild>
            <w:div w:id="594751875">
              <w:marLeft w:val="0"/>
              <w:marRight w:val="0"/>
              <w:marTop w:val="0"/>
              <w:marBottom w:val="0"/>
              <w:divBdr>
                <w:top w:val="none" w:sz="0" w:space="0" w:color="auto"/>
                <w:left w:val="none" w:sz="0" w:space="0" w:color="auto"/>
                <w:bottom w:val="none" w:sz="0" w:space="0" w:color="auto"/>
                <w:right w:val="none" w:sz="0" w:space="0" w:color="auto"/>
              </w:divBdr>
            </w:div>
            <w:div w:id="201950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3768">
      <w:bodyDiv w:val="1"/>
      <w:marLeft w:val="0"/>
      <w:marRight w:val="0"/>
      <w:marTop w:val="0"/>
      <w:marBottom w:val="0"/>
      <w:divBdr>
        <w:top w:val="none" w:sz="0" w:space="0" w:color="auto"/>
        <w:left w:val="none" w:sz="0" w:space="0" w:color="auto"/>
        <w:bottom w:val="none" w:sz="0" w:space="0" w:color="auto"/>
        <w:right w:val="none" w:sz="0" w:space="0" w:color="auto"/>
      </w:divBdr>
    </w:div>
    <w:div w:id="1437603167">
      <w:bodyDiv w:val="1"/>
      <w:marLeft w:val="0"/>
      <w:marRight w:val="0"/>
      <w:marTop w:val="0"/>
      <w:marBottom w:val="0"/>
      <w:divBdr>
        <w:top w:val="none" w:sz="0" w:space="0" w:color="auto"/>
        <w:left w:val="none" w:sz="0" w:space="0" w:color="auto"/>
        <w:bottom w:val="none" w:sz="0" w:space="0" w:color="auto"/>
        <w:right w:val="none" w:sz="0" w:space="0" w:color="auto"/>
      </w:divBdr>
    </w:div>
    <w:div w:id="1451895097">
      <w:bodyDiv w:val="1"/>
      <w:marLeft w:val="0"/>
      <w:marRight w:val="0"/>
      <w:marTop w:val="0"/>
      <w:marBottom w:val="0"/>
      <w:divBdr>
        <w:top w:val="none" w:sz="0" w:space="0" w:color="auto"/>
        <w:left w:val="none" w:sz="0" w:space="0" w:color="auto"/>
        <w:bottom w:val="none" w:sz="0" w:space="0" w:color="auto"/>
        <w:right w:val="none" w:sz="0" w:space="0" w:color="auto"/>
      </w:divBdr>
    </w:div>
    <w:div w:id="1455363959">
      <w:bodyDiv w:val="1"/>
      <w:marLeft w:val="0"/>
      <w:marRight w:val="0"/>
      <w:marTop w:val="0"/>
      <w:marBottom w:val="0"/>
      <w:divBdr>
        <w:top w:val="none" w:sz="0" w:space="0" w:color="auto"/>
        <w:left w:val="none" w:sz="0" w:space="0" w:color="auto"/>
        <w:bottom w:val="none" w:sz="0" w:space="0" w:color="auto"/>
        <w:right w:val="none" w:sz="0" w:space="0" w:color="auto"/>
      </w:divBdr>
      <w:divsChild>
        <w:div w:id="2122526492">
          <w:marLeft w:val="0"/>
          <w:marRight w:val="0"/>
          <w:marTop w:val="0"/>
          <w:marBottom w:val="0"/>
          <w:divBdr>
            <w:top w:val="none" w:sz="0" w:space="0" w:color="auto"/>
            <w:left w:val="none" w:sz="0" w:space="0" w:color="auto"/>
            <w:bottom w:val="none" w:sz="0" w:space="0" w:color="auto"/>
            <w:right w:val="none" w:sz="0" w:space="0" w:color="auto"/>
          </w:divBdr>
        </w:div>
      </w:divsChild>
    </w:div>
    <w:div w:id="1470631024">
      <w:bodyDiv w:val="1"/>
      <w:marLeft w:val="0"/>
      <w:marRight w:val="0"/>
      <w:marTop w:val="0"/>
      <w:marBottom w:val="0"/>
      <w:divBdr>
        <w:top w:val="none" w:sz="0" w:space="0" w:color="auto"/>
        <w:left w:val="none" w:sz="0" w:space="0" w:color="auto"/>
        <w:bottom w:val="none" w:sz="0" w:space="0" w:color="auto"/>
        <w:right w:val="none" w:sz="0" w:space="0" w:color="auto"/>
      </w:divBdr>
    </w:div>
    <w:div w:id="1480074699">
      <w:bodyDiv w:val="1"/>
      <w:marLeft w:val="0"/>
      <w:marRight w:val="0"/>
      <w:marTop w:val="0"/>
      <w:marBottom w:val="0"/>
      <w:divBdr>
        <w:top w:val="none" w:sz="0" w:space="0" w:color="auto"/>
        <w:left w:val="none" w:sz="0" w:space="0" w:color="auto"/>
        <w:bottom w:val="none" w:sz="0" w:space="0" w:color="auto"/>
        <w:right w:val="none" w:sz="0" w:space="0" w:color="auto"/>
      </w:divBdr>
    </w:div>
    <w:div w:id="1507478415">
      <w:bodyDiv w:val="1"/>
      <w:marLeft w:val="0"/>
      <w:marRight w:val="0"/>
      <w:marTop w:val="0"/>
      <w:marBottom w:val="0"/>
      <w:divBdr>
        <w:top w:val="none" w:sz="0" w:space="0" w:color="auto"/>
        <w:left w:val="none" w:sz="0" w:space="0" w:color="auto"/>
        <w:bottom w:val="none" w:sz="0" w:space="0" w:color="auto"/>
        <w:right w:val="none" w:sz="0" w:space="0" w:color="auto"/>
      </w:divBdr>
    </w:div>
    <w:div w:id="1519124796">
      <w:bodyDiv w:val="1"/>
      <w:marLeft w:val="0"/>
      <w:marRight w:val="0"/>
      <w:marTop w:val="0"/>
      <w:marBottom w:val="0"/>
      <w:divBdr>
        <w:top w:val="none" w:sz="0" w:space="0" w:color="auto"/>
        <w:left w:val="none" w:sz="0" w:space="0" w:color="auto"/>
        <w:bottom w:val="none" w:sz="0" w:space="0" w:color="auto"/>
        <w:right w:val="none" w:sz="0" w:space="0" w:color="auto"/>
      </w:divBdr>
    </w:div>
    <w:div w:id="1520117977">
      <w:bodyDiv w:val="1"/>
      <w:marLeft w:val="0"/>
      <w:marRight w:val="0"/>
      <w:marTop w:val="0"/>
      <w:marBottom w:val="0"/>
      <w:divBdr>
        <w:top w:val="none" w:sz="0" w:space="0" w:color="auto"/>
        <w:left w:val="none" w:sz="0" w:space="0" w:color="auto"/>
        <w:bottom w:val="none" w:sz="0" w:space="0" w:color="auto"/>
        <w:right w:val="none" w:sz="0" w:space="0" w:color="auto"/>
      </w:divBdr>
    </w:div>
    <w:div w:id="1520704501">
      <w:bodyDiv w:val="1"/>
      <w:marLeft w:val="0"/>
      <w:marRight w:val="0"/>
      <w:marTop w:val="0"/>
      <w:marBottom w:val="0"/>
      <w:divBdr>
        <w:top w:val="none" w:sz="0" w:space="0" w:color="auto"/>
        <w:left w:val="none" w:sz="0" w:space="0" w:color="auto"/>
        <w:bottom w:val="none" w:sz="0" w:space="0" w:color="auto"/>
        <w:right w:val="none" w:sz="0" w:space="0" w:color="auto"/>
      </w:divBdr>
    </w:div>
    <w:div w:id="1528254663">
      <w:bodyDiv w:val="1"/>
      <w:marLeft w:val="0"/>
      <w:marRight w:val="0"/>
      <w:marTop w:val="0"/>
      <w:marBottom w:val="0"/>
      <w:divBdr>
        <w:top w:val="none" w:sz="0" w:space="0" w:color="auto"/>
        <w:left w:val="none" w:sz="0" w:space="0" w:color="auto"/>
        <w:bottom w:val="none" w:sz="0" w:space="0" w:color="auto"/>
        <w:right w:val="none" w:sz="0" w:space="0" w:color="auto"/>
      </w:divBdr>
    </w:div>
    <w:div w:id="1546260640">
      <w:bodyDiv w:val="1"/>
      <w:marLeft w:val="0"/>
      <w:marRight w:val="0"/>
      <w:marTop w:val="0"/>
      <w:marBottom w:val="0"/>
      <w:divBdr>
        <w:top w:val="none" w:sz="0" w:space="0" w:color="auto"/>
        <w:left w:val="none" w:sz="0" w:space="0" w:color="auto"/>
        <w:bottom w:val="none" w:sz="0" w:space="0" w:color="auto"/>
        <w:right w:val="none" w:sz="0" w:space="0" w:color="auto"/>
      </w:divBdr>
    </w:div>
    <w:div w:id="1548295755">
      <w:bodyDiv w:val="1"/>
      <w:marLeft w:val="0"/>
      <w:marRight w:val="0"/>
      <w:marTop w:val="0"/>
      <w:marBottom w:val="0"/>
      <w:divBdr>
        <w:top w:val="none" w:sz="0" w:space="0" w:color="auto"/>
        <w:left w:val="none" w:sz="0" w:space="0" w:color="auto"/>
        <w:bottom w:val="none" w:sz="0" w:space="0" w:color="auto"/>
        <w:right w:val="none" w:sz="0" w:space="0" w:color="auto"/>
      </w:divBdr>
      <w:divsChild>
        <w:div w:id="444353949">
          <w:marLeft w:val="0"/>
          <w:marRight w:val="0"/>
          <w:marTop w:val="0"/>
          <w:marBottom w:val="0"/>
          <w:divBdr>
            <w:top w:val="none" w:sz="0" w:space="0" w:color="auto"/>
            <w:left w:val="none" w:sz="0" w:space="0" w:color="auto"/>
            <w:bottom w:val="none" w:sz="0" w:space="0" w:color="auto"/>
            <w:right w:val="none" w:sz="0" w:space="0" w:color="auto"/>
          </w:divBdr>
          <w:divsChild>
            <w:div w:id="1817455329">
              <w:marLeft w:val="0"/>
              <w:marRight w:val="0"/>
              <w:marTop w:val="0"/>
              <w:marBottom w:val="0"/>
              <w:divBdr>
                <w:top w:val="none" w:sz="0" w:space="0" w:color="auto"/>
                <w:left w:val="none" w:sz="0" w:space="0" w:color="auto"/>
                <w:bottom w:val="none" w:sz="0" w:space="0" w:color="auto"/>
                <w:right w:val="none" w:sz="0" w:space="0" w:color="auto"/>
              </w:divBdr>
              <w:divsChild>
                <w:div w:id="854224776">
                  <w:marLeft w:val="0"/>
                  <w:marRight w:val="0"/>
                  <w:marTop w:val="0"/>
                  <w:marBottom w:val="0"/>
                  <w:divBdr>
                    <w:top w:val="none" w:sz="0" w:space="0" w:color="auto"/>
                    <w:left w:val="none" w:sz="0" w:space="0" w:color="auto"/>
                    <w:bottom w:val="none" w:sz="0" w:space="0" w:color="auto"/>
                    <w:right w:val="none" w:sz="0" w:space="0" w:color="auto"/>
                  </w:divBdr>
                  <w:divsChild>
                    <w:div w:id="2087681361">
                      <w:marLeft w:val="225"/>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556041200">
          <w:marLeft w:val="0"/>
          <w:marRight w:val="0"/>
          <w:marTop w:val="0"/>
          <w:marBottom w:val="0"/>
          <w:divBdr>
            <w:top w:val="none" w:sz="0" w:space="0" w:color="auto"/>
            <w:left w:val="none" w:sz="0" w:space="0" w:color="auto"/>
            <w:bottom w:val="none" w:sz="0" w:space="0" w:color="auto"/>
            <w:right w:val="none" w:sz="0" w:space="0" w:color="auto"/>
          </w:divBdr>
          <w:divsChild>
            <w:div w:id="137429812">
              <w:marLeft w:val="0"/>
              <w:marRight w:val="0"/>
              <w:marTop w:val="0"/>
              <w:marBottom w:val="0"/>
              <w:divBdr>
                <w:top w:val="none" w:sz="0" w:space="0" w:color="auto"/>
                <w:left w:val="none" w:sz="0" w:space="0" w:color="auto"/>
                <w:bottom w:val="none" w:sz="0" w:space="0" w:color="auto"/>
                <w:right w:val="none" w:sz="0" w:space="0" w:color="auto"/>
              </w:divBdr>
              <w:divsChild>
                <w:div w:id="1239752489">
                  <w:marLeft w:val="0"/>
                  <w:marRight w:val="0"/>
                  <w:marTop w:val="0"/>
                  <w:marBottom w:val="0"/>
                  <w:divBdr>
                    <w:top w:val="none" w:sz="0" w:space="0" w:color="auto"/>
                    <w:left w:val="none" w:sz="0" w:space="0" w:color="auto"/>
                    <w:bottom w:val="none" w:sz="0" w:space="0" w:color="auto"/>
                    <w:right w:val="none" w:sz="0" w:space="0" w:color="auto"/>
                  </w:divBdr>
                  <w:divsChild>
                    <w:div w:id="641348924">
                      <w:marLeft w:val="0"/>
                      <w:marRight w:val="0"/>
                      <w:marTop w:val="0"/>
                      <w:marBottom w:val="0"/>
                      <w:divBdr>
                        <w:top w:val="none" w:sz="0" w:space="0" w:color="auto"/>
                        <w:left w:val="none" w:sz="0" w:space="0" w:color="auto"/>
                        <w:bottom w:val="none" w:sz="0" w:space="0" w:color="auto"/>
                        <w:right w:val="none" w:sz="0" w:space="0" w:color="auto"/>
                      </w:divBdr>
                      <w:divsChild>
                        <w:div w:id="208086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51885">
      <w:bodyDiv w:val="1"/>
      <w:marLeft w:val="0"/>
      <w:marRight w:val="0"/>
      <w:marTop w:val="0"/>
      <w:marBottom w:val="0"/>
      <w:divBdr>
        <w:top w:val="none" w:sz="0" w:space="0" w:color="auto"/>
        <w:left w:val="none" w:sz="0" w:space="0" w:color="auto"/>
        <w:bottom w:val="none" w:sz="0" w:space="0" w:color="auto"/>
        <w:right w:val="none" w:sz="0" w:space="0" w:color="auto"/>
      </w:divBdr>
    </w:div>
    <w:div w:id="1568029247">
      <w:bodyDiv w:val="1"/>
      <w:marLeft w:val="0"/>
      <w:marRight w:val="0"/>
      <w:marTop w:val="0"/>
      <w:marBottom w:val="0"/>
      <w:divBdr>
        <w:top w:val="none" w:sz="0" w:space="0" w:color="auto"/>
        <w:left w:val="none" w:sz="0" w:space="0" w:color="auto"/>
        <w:bottom w:val="none" w:sz="0" w:space="0" w:color="auto"/>
        <w:right w:val="none" w:sz="0" w:space="0" w:color="auto"/>
      </w:divBdr>
    </w:div>
    <w:div w:id="1586301301">
      <w:bodyDiv w:val="1"/>
      <w:marLeft w:val="0"/>
      <w:marRight w:val="0"/>
      <w:marTop w:val="0"/>
      <w:marBottom w:val="0"/>
      <w:divBdr>
        <w:top w:val="none" w:sz="0" w:space="0" w:color="auto"/>
        <w:left w:val="none" w:sz="0" w:space="0" w:color="auto"/>
        <w:bottom w:val="none" w:sz="0" w:space="0" w:color="auto"/>
        <w:right w:val="none" w:sz="0" w:space="0" w:color="auto"/>
      </w:divBdr>
    </w:div>
    <w:div w:id="1612005353">
      <w:bodyDiv w:val="1"/>
      <w:marLeft w:val="0"/>
      <w:marRight w:val="0"/>
      <w:marTop w:val="0"/>
      <w:marBottom w:val="0"/>
      <w:divBdr>
        <w:top w:val="none" w:sz="0" w:space="0" w:color="auto"/>
        <w:left w:val="none" w:sz="0" w:space="0" w:color="auto"/>
        <w:bottom w:val="none" w:sz="0" w:space="0" w:color="auto"/>
        <w:right w:val="none" w:sz="0" w:space="0" w:color="auto"/>
      </w:divBdr>
    </w:div>
    <w:div w:id="1618174222">
      <w:bodyDiv w:val="1"/>
      <w:marLeft w:val="0"/>
      <w:marRight w:val="0"/>
      <w:marTop w:val="0"/>
      <w:marBottom w:val="0"/>
      <w:divBdr>
        <w:top w:val="none" w:sz="0" w:space="0" w:color="auto"/>
        <w:left w:val="none" w:sz="0" w:space="0" w:color="auto"/>
        <w:bottom w:val="none" w:sz="0" w:space="0" w:color="auto"/>
        <w:right w:val="none" w:sz="0" w:space="0" w:color="auto"/>
      </w:divBdr>
    </w:div>
    <w:div w:id="1628051025">
      <w:bodyDiv w:val="1"/>
      <w:marLeft w:val="0"/>
      <w:marRight w:val="0"/>
      <w:marTop w:val="0"/>
      <w:marBottom w:val="0"/>
      <w:divBdr>
        <w:top w:val="none" w:sz="0" w:space="0" w:color="auto"/>
        <w:left w:val="none" w:sz="0" w:space="0" w:color="auto"/>
        <w:bottom w:val="none" w:sz="0" w:space="0" w:color="auto"/>
        <w:right w:val="none" w:sz="0" w:space="0" w:color="auto"/>
      </w:divBdr>
    </w:div>
    <w:div w:id="1653365032">
      <w:bodyDiv w:val="1"/>
      <w:marLeft w:val="0"/>
      <w:marRight w:val="0"/>
      <w:marTop w:val="0"/>
      <w:marBottom w:val="0"/>
      <w:divBdr>
        <w:top w:val="none" w:sz="0" w:space="0" w:color="auto"/>
        <w:left w:val="none" w:sz="0" w:space="0" w:color="auto"/>
        <w:bottom w:val="none" w:sz="0" w:space="0" w:color="auto"/>
        <w:right w:val="none" w:sz="0" w:space="0" w:color="auto"/>
      </w:divBdr>
    </w:div>
    <w:div w:id="1668096859">
      <w:bodyDiv w:val="1"/>
      <w:marLeft w:val="0"/>
      <w:marRight w:val="0"/>
      <w:marTop w:val="0"/>
      <w:marBottom w:val="0"/>
      <w:divBdr>
        <w:top w:val="none" w:sz="0" w:space="0" w:color="auto"/>
        <w:left w:val="none" w:sz="0" w:space="0" w:color="auto"/>
        <w:bottom w:val="none" w:sz="0" w:space="0" w:color="auto"/>
        <w:right w:val="none" w:sz="0" w:space="0" w:color="auto"/>
      </w:divBdr>
    </w:div>
    <w:div w:id="1672875082">
      <w:bodyDiv w:val="1"/>
      <w:marLeft w:val="0"/>
      <w:marRight w:val="0"/>
      <w:marTop w:val="0"/>
      <w:marBottom w:val="0"/>
      <w:divBdr>
        <w:top w:val="none" w:sz="0" w:space="0" w:color="auto"/>
        <w:left w:val="none" w:sz="0" w:space="0" w:color="auto"/>
        <w:bottom w:val="none" w:sz="0" w:space="0" w:color="auto"/>
        <w:right w:val="none" w:sz="0" w:space="0" w:color="auto"/>
      </w:divBdr>
    </w:div>
    <w:div w:id="1681815988">
      <w:bodyDiv w:val="1"/>
      <w:marLeft w:val="0"/>
      <w:marRight w:val="0"/>
      <w:marTop w:val="0"/>
      <w:marBottom w:val="0"/>
      <w:divBdr>
        <w:top w:val="none" w:sz="0" w:space="0" w:color="auto"/>
        <w:left w:val="none" w:sz="0" w:space="0" w:color="auto"/>
        <w:bottom w:val="none" w:sz="0" w:space="0" w:color="auto"/>
        <w:right w:val="none" w:sz="0" w:space="0" w:color="auto"/>
      </w:divBdr>
    </w:div>
    <w:div w:id="1692800152">
      <w:bodyDiv w:val="1"/>
      <w:marLeft w:val="0"/>
      <w:marRight w:val="0"/>
      <w:marTop w:val="0"/>
      <w:marBottom w:val="0"/>
      <w:divBdr>
        <w:top w:val="none" w:sz="0" w:space="0" w:color="auto"/>
        <w:left w:val="none" w:sz="0" w:space="0" w:color="auto"/>
        <w:bottom w:val="none" w:sz="0" w:space="0" w:color="auto"/>
        <w:right w:val="none" w:sz="0" w:space="0" w:color="auto"/>
      </w:divBdr>
    </w:div>
    <w:div w:id="1707753434">
      <w:bodyDiv w:val="1"/>
      <w:marLeft w:val="0"/>
      <w:marRight w:val="0"/>
      <w:marTop w:val="0"/>
      <w:marBottom w:val="0"/>
      <w:divBdr>
        <w:top w:val="none" w:sz="0" w:space="0" w:color="auto"/>
        <w:left w:val="none" w:sz="0" w:space="0" w:color="auto"/>
        <w:bottom w:val="none" w:sz="0" w:space="0" w:color="auto"/>
        <w:right w:val="none" w:sz="0" w:space="0" w:color="auto"/>
      </w:divBdr>
    </w:div>
    <w:div w:id="1712074921">
      <w:bodyDiv w:val="1"/>
      <w:marLeft w:val="0"/>
      <w:marRight w:val="0"/>
      <w:marTop w:val="0"/>
      <w:marBottom w:val="0"/>
      <w:divBdr>
        <w:top w:val="none" w:sz="0" w:space="0" w:color="auto"/>
        <w:left w:val="none" w:sz="0" w:space="0" w:color="auto"/>
        <w:bottom w:val="none" w:sz="0" w:space="0" w:color="auto"/>
        <w:right w:val="none" w:sz="0" w:space="0" w:color="auto"/>
      </w:divBdr>
      <w:divsChild>
        <w:div w:id="1179156181">
          <w:marLeft w:val="0"/>
          <w:marRight w:val="0"/>
          <w:marTop w:val="0"/>
          <w:marBottom w:val="0"/>
          <w:divBdr>
            <w:top w:val="none" w:sz="0" w:space="0" w:color="auto"/>
            <w:left w:val="none" w:sz="0" w:space="0" w:color="auto"/>
            <w:bottom w:val="none" w:sz="0" w:space="0" w:color="auto"/>
            <w:right w:val="none" w:sz="0" w:space="0" w:color="auto"/>
          </w:divBdr>
          <w:divsChild>
            <w:div w:id="1072655533">
              <w:marLeft w:val="0"/>
              <w:marRight w:val="0"/>
              <w:marTop w:val="0"/>
              <w:marBottom w:val="0"/>
              <w:divBdr>
                <w:top w:val="none" w:sz="0" w:space="0" w:color="auto"/>
                <w:left w:val="none" w:sz="0" w:space="0" w:color="auto"/>
                <w:bottom w:val="none" w:sz="0" w:space="0" w:color="auto"/>
                <w:right w:val="none" w:sz="0" w:space="0" w:color="auto"/>
              </w:divBdr>
              <w:divsChild>
                <w:div w:id="1011488344">
                  <w:marLeft w:val="0"/>
                  <w:marRight w:val="0"/>
                  <w:marTop w:val="0"/>
                  <w:marBottom w:val="0"/>
                  <w:divBdr>
                    <w:top w:val="none" w:sz="0" w:space="0" w:color="auto"/>
                    <w:left w:val="none" w:sz="0" w:space="0" w:color="auto"/>
                    <w:bottom w:val="none" w:sz="0" w:space="0" w:color="auto"/>
                    <w:right w:val="none" w:sz="0" w:space="0" w:color="auto"/>
                  </w:divBdr>
                  <w:divsChild>
                    <w:div w:id="960301912">
                      <w:marLeft w:val="0"/>
                      <w:marRight w:val="0"/>
                      <w:marTop w:val="0"/>
                      <w:marBottom w:val="0"/>
                      <w:divBdr>
                        <w:top w:val="none" w:sz="0" w:space="0" w:color="auto"/>
                        <w:left w:val="none" w:sz="0" w:space="0" w:color="auto"/>
                        <w:bottom w:val="none" w:sz="0" w:space="0" w:color="auto"/>
                        <w:right w:val="none" w:sz="0" w:space="0" w:color="auto"/>
                      </w:divBdr>
                      <w:divsChild>
                        <w:div w:id="444663476">
                          <w:marLeft w:val="0"/>
                          <w:marRight w:val="0"/>
                          <w:marTop w:val="0"/>
                          <w:marBottom w:val="0"/>
                          <w:divBdr>
                            <w:top w:val="none" w:sz="0" w:space="0" w:color="auto"/>
                            <w:left w:val="none" w:sz="0" w:space="0" w:color="auto"/>
                            <w:bottom w:val="none" w:sz="0" w:space="0" w:color="auto"/>
                            <w:right w:val="none" w:sz="0" w:space="0" w:color="auto"/>
                          </w:divBdr>
                          <w:divsChild>
                            <w:div w:id="66836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1802986">
      <w:bodyDiv w:val="1"/>
      <w:marLeft w:val="0"/>
      <w:marRight w:val="0"/>
      <w:marTop w:val="0"/>
      <w:marBottom w:val="0"/>
      <w:divBdr>
        <w:top w:val="none" w:sz="0" w:space="0" w:color="auto"/>
        <w:left w:val="none" w:sz="0" w:space="0" w:color="auto"/>
        <w:bottom w:val="none" w:sz="0" w:space="0" w:color="auto"/>
        <w:right w:val="none" w:sz="0" w:space="0" w:color="auto"/>
      </w:divBdr>
    </w:div>
    <w:div w:id="1731878024">
      <w:bodyDiv w:val="1"/>
      <w:marLeft w:val="0"/>
      <w:marRight w:val="0"/>
      <w:marTop w:val="0"/>
      <w:marBottom w:val="0"/>
      <w:divBdr>
        <w:top w:val="none" w:sz="0" w:space="0" w:color="auto"/>
        <w:left w:val="none" w:sz="0" w:space="0" w:color="auto"/>
        <w:bottom w:val="none" w:sz="0" w:space="0" w:color="auto"/>
        <w:right w:val="none" w:sz="0" w:space="0" w:color="auto"/>
      </w:divBdr>
    </w:div>
    <w:div w:id="1741366680">
      <w:bodyDiv w:val="1"/>
      <w:marLeft w:val="0"/>
      <w:marRight w:val="0"/>
      <w:marTop w:val="0"/>
      <w:marBottom w:val="0"/>
      <w:divBdr>
        <w:top w:val="none" w:sz="0" w:space="0" w:color="auto"/>
        <w:left w:val="none" w:sz="0" w:space="0" w:color="auto"/>
        <w:bottom w:val="none" w:sz="0" w:space="0" w:color="auto"/>
        <w:right w:val="none" w:sz="0" w:space="0" w:color="auto"/>
      </w:divBdr>
    </w:div>
    <w:div w:id="1758287625">
      <w:bodyDiv w:val="1"/>
      <w:marLeft w:val="0"/>
      <w:marRight w:val="0"/>
      <w:marTop w:val="0"/>
      <w:marBottom w:val="0"/>
      <w:divBdr>
        <w:top w:val="none" w:sz="0" w:space="0" w:color="auto"/>
        <w:left w:val="none" w:sz="0" w:space="0" w:color="auto"/>
        <w:bottom w:val="none" w:sz="0" w:space="0" w:color="auto"/>
        <w:right w:val="none" w:sz="0" w:space="0" w:color="auto"/>
      </w:divBdr>
    </w:div>
    <w:div w:id="1781023046">
      <w:bodyDiv w:val="1"/>
      <w:marLeft w:val="0"/>
      <w:marRight w:val="0"/>
      <w:marTop w:val="0"/>
      <w:marBottom w:val="0"/>
      <w:divBdr>
        <w:top w:val="none" w:sz="0" w:space="0" w:color="auto"/>
        <w:left w:val="none" w:sz="0" w:space="0" w:color="auto"/>
        <w:bottom w:val="none" w:sz="0" w:space="0" w:color="auto"/>
        <w:right w:val="none" w:sz="0" w:space="0" w:color="auto"/>
      </w:divBdr>
    </w:div>
    <w:div w:id="1792553394">
      <w:bodyDiv w:val="1"/>
      <w:marLeft w:val="0"/>
      <w:marRight w:val="0"/>
      <w:marTop w:val="0"/>
      <w:marBottom w:val="0"/>
      <w:divBdr>
        <w:top w:val="none" w:sz="0" w:space="0" w:color="auto"/>
        <w:left w:val="none" w:sz="0" w:space="0" w:color="auto"/>
        <w:bottom w:val="none" w:sz="0" w:space="0" w:color="auto"/>
        <w:right w:val="none" w:sz="0" w:space="0" w:color="auto"/>
      </w:divBdr>
    </w:div>
    <w:div w:id="1810170679">
      <w:bodyDiv w:val="1"/>
      <w:marLeft w:val="0"/>
      <w:marRight w:val="0"/>
      <w:marTop w:val="0"/>
      <w:marBottom w:val="0"/>
      <w:divBdr>
        <w:top w:val="none" w:sz="0" w:space="0" w:color="auto"/>
        <w:left w:val="none" w:sz="0" w:space="0" w:color="auto"/>
        <w:bottom w:val="none" w:sz="0" w:space="0" w:color="auto"/>
        <w:right w:val="none" w:sz="0" w:space="0" w:color="auto"/>
      </w:divBdr>
    </w:div>
    <w:div w:id="1815871695">
      <w:bodyDiv w:val="1"/>
      <w:marLeft w:val="0"/>
      <w:marRight w:val="0"/>
      <w:marTop w:val="0"/>
      <w:marBottom w:val="0"/>
      <w:divBdr>
        <w:top w:val="none" w:sz="0" w:space="0" w:color="auto"/>
        <w:left w:val="none" w:sz="0" w:space="0" w:color="auto"/>
        <w:bottom w:val="none" w:sz="0" w:space="0" w:color="auto"/>
        <w:right w:val="none" w:sz="0" w:space="0" w:color="auto"/>
      </w:divBdr>
    </w:div>
    <w:div w:id="1829662440">
      <w:bodyDiv w:val="1"/>
      <w:marLeft w:val="0"/>
      <w:marRight w:val="0"/>
      <w:marTop w:val="0"/>
      <w:marBottom w:val="0"/>
      <w:divBdr>
        <w:top w:val="none" w:sz="0" w:space="0" w:color="auto"/>
        <w:left w:val="none" w:sz="0" w:space="0" w:color="auto"/>
        <w:bottom w:val="none" w:sz="0" w:space="0" w:color="auto"/>
        <w:right w:val="none" w:sz="0" w:space="0" w:color="auto"/>
      </w:divBdr>
    </w:div>
    <w:div w:id="1860124636">
      <w:bodyDiv w:val="1"/>
      <w:marLeft w:val="0"/>
      <w:marRight w:val="0"/>
      <w:marTop w:val="0"/>
      <w:marBottom w:val="0"/>
      <w:divBdr>
        <w:top w:val="none" w:sz="0" w:space="0" w:color="auto"/>
        <w:left w:val="none" w:sz="0" w:space="0" w:color="auto"/>
        <w:bottom w:val="none" w:sz="0" w:space="0" w:color="auto"/>
        <w:right w:val="none" w:sz="0" w:space="0" w:color="auto"/>
      </w:divBdr>
    </w:div>
    <w:div w:id="1866672752">
      <w:bodyDiv w:val="1"/>
      <w:marLeft w:val="0"/>
      <w:marRight w:val="0"/>
      <w:marTop w:val="0"/>
      <w:marBottom w:val="0"/>
      <w:divBdr>
        <w:top w:val="none" w:sz="0" w:space="0" w:color="auto"/>
        <w:left w:val="none" w:sz="0" w:space="0" w:color="auto"/>
        <w:bottom w:val="none" w:sz="0" w:space="0" w:color="auto"/>
        <w:right w:val="none" w:sz="0" w:space="0" w:color="auto"/>
      </w:divBdr>
    </w:div>
    <w:div w:id="1909807528">
      <w:bodyDiv w:val="1"/>
      <w:marLeft w:val="0"/>
      <w:marRight w:val="0"/>
      <w:marTop w:val="0"/>
      <w:marBottom w:val="0"/>
      <w:divBdr>
        <w:top w:val="none" w:sz="0" w:space="0" w:color="auto"/>
        <w:left w:val="none" w:sz="0" w:space="0" w:color="auto"/>
        <w:bottom w:val="none" w:sz="0" w:space="0" w:color="auto"/>
        <w:right w:val="none" w:sz="0" w:space="0" w:color="auto"/>
      </w:divBdr>
    </w:div>
    <w:div w:id="1923486020">
      <w:bodyDiv w:val="1"/>
      <w:marLeft w:val="0"/>
      <w:marRight w:val="0"/>
      <w:marTop w:val="0"/>
      <w:marBottom w:val="0"/>
      <w:divBdr>
        <w:top w:val="none" w:sz="0" w:space="0" w:color="auto"/>
        <w:left w:val="none" w:sz="0" w:space="0" w:color="auto"/>
        <w:bottom w:val="none" w:sz="0" w:space="0" w:color="auto"/>
        <w:right w:val="none" w:sz="0" w:space="0" w:color="auto"/>
      </w:divBdr>
    </w:div>
    <w:div w:id="1924727650">
      <w:bodyDiv w:val="1"/>
      <w:marLeft w:val="0"/>
      <w:marRight w:val="0"/>
      <w:marTop w:val="0"/>
      <w:marBottom w:val="0"/>
      <w:divBdr>
        <w:top w:val="none" w:sz="0" w:space="0" w:color="auto"/>
        <w:left w:val="none" w:sz="0" w:space="0" w:color="auto"/>
        <w:bottom w:val="none" w:sz="0" w:space="0" w:color="auto"/>
        <w:right w:val="none" w:sz="0" w:space="0" w:color="auto"/>
      </w:divBdr>
    </w:div>
    <w:div w:id="1926180155">
      <w:bodyDiv w:val="1"/>
      <w:marLeft w:val="0"/>
      <w:marRight w:val="0"/>
      <w:marTop w:val="0"/>
      <w:marBottom w:val="0"/>
      <w:divBdr>
        <w:top w:val="none" w:sz="0" w:space="0" w:color="auto"/>
        <w:left w:val="none" w:sz="0" w:space="0" w:color="auto"/>
        <w:bottom w:val="none" w:sz="0" w:space="0" w:color="auto"/>
        <w:right w:val="none" w:sz="0" w:space="0" w:color="auto"/>
      </w:divBdr>
    </w:div>
    <w:div w:id="1926961839">
      <w:bodyDiv w:val="1"/>
      <w:marLeft w:val="0"/>
      <w:marRight w:val="0"/>
      <w:marTop w:val="0"/>
      <w:marBottom w:val="0"/>
      <w:divBdr>
        <w:top w:val="none" w:sz="0" w:space="0" w:color="auto"/>
        <w:left w:val="none" w:sz="0" w:space="0" w:color="auto"/>
        <w:bottom w:val="none" w:sz="0" w:space="0" w:color="auto"/>
        <w:right w:val="none" w:sz="0" w:space="0" w:color="auto"/>
      </w:divBdr>
    </w:div>
    <w:div w:id="1957103673">
      <w:bodyDiv w:val="1"/>
      <w:marLeft w:val="0"/>
      <w:marRight w:val="0"/>
      <w:marTop w:val="0"/>
      <w:marBottom w:val="0"/>
      <w:divBdr>
        <w:top w:val="none" w:sz="0" w:space="0" w:color="auto"/>
        <w:left w:val="none" w:sz="0" w:space="0" w:color="auto"/>
        <w:bottom w:val="none" w:sz="0" w:space="0" w:color="auto"/>
        <w:right w:val="none" w:sz="0" w:space="0" w:color="auto"/>
      </w:divBdr>
    </w:div>
    <w:div w:id="1965580011">
      <w:bodyDiv w:val="1"/>
      <w:marLeft w:val="0"/>
      <w:marRight w:val="0"/>
      <w:marTop w:val="0"/>
      <w:marBottom w:val="0"/>
      <w:divBdr>
        <w:top w:val="none" w:sz="0" w:space="0" w:color="auto"/>
        <w:left w:val="none" w:sz="0" w:space="0" w:color="auto"/>
        <w:bottom w:val="none" w:sz="0" w:space="0" w:color="auto"/>
        <w:right w:val="none" w:sz="0" w:space="0" w:color="auto"/>
      </w:divBdr>
    </w:div>
    <w:div w:id="1971475509">
      <w:bodyDiv w:val="1"/>
      <w:marLeft w:val="0"/>
      <w:marRight w:val="0"/>
      <w:marTop w:val="0"/>
      <w:marBottom w:val="0"/>
      <w:divBdr>
        <w:top w:val="none" w:sz="0" w:space="0" w:color="auto"/>
        <w:left w:val="none" w:sz="0" w:space="0" w:color="auto"/>
        <w:bottom w:val="none" w:sz="0" w:space="0" w:color="auto"/>
        <w:right w:val="none" w:sz="0" w:space="0" w:color="auto"/>
      </w:divBdr>
    </w:div>
    <w:div w:id="1984381693">
      <w:bodyDiv w:val="1"/>
      <w:marLeft w:val="0"/>
      <w:marRight w:val="0"/>
      <w:marTop w:val="0"/>
      <w:marBottom w:val="0"/>
      <w:divBdr>
        <w:top w:val="none" w:sz="0" w:space="0" w:color="auto"/>
        <w:left w:val="none" w:sz="0" w:space="0" w:color="auto"/>
        <w:bottom w:val="none" w:sz="0" w:space="0" w:color="auto"/>
        <w:right w:val="none" w:sz="0" w:space="0" w:color="auto"/>
      </w:divBdr>
    </w:div>
    <w:div w:id="1987657422">
      <w:bodyDiv w:val="1"/>
      <w:marLeft w:val="0"/>
      <w:marRight w:val="0"/>
      <w:marTop w:val="0"/>
      <w:marBottom w:val="0"/>
      <w:divBdr>
        <w:top w:val="none" w:sz="0" w:space="0" w:color="auto"/>
        <w:left w:val="none" w:sz="0" w:space="0" w:color="auto"/>
        <w:bottom w:val="none" w:sz="0" w:space="0" w:color="auto"/>
        <w:right w:val="none" w:sz="0" w:space="0" w:color="auto"/>
      </w:divBdr>
    </w:div>
    <w:div w:id="2026782949">
      <w:bodyDiv w:val="1"/>
      <w:marLeft w:val="0"/>
      <w:marRight w:val="0"/>
      <w:marTop w:val="0"/>
      <w:marBottom w:val="0"/>
      <w:divBdr>
        <w:top w:val="none" w:sz="0" w:space="0" w:color="auto"/>
        <w:left w:val="none" w:sz="0" w:space="0" w:color="auto"/>
        <w:bottom w:val="none" w:sz="0" w:space="0" w:color="auto"/>
        <w:right w:val="none" w:sz="0" w:space="0" w:color="auto"/>
      </w:divBdr>
    </w:div>
    <w:div w:id="2054041706">
      <w:bodyDiv w:val="1"/>
      <w:marLeft w:val="0"/>
      <w:marRight w:val="0"/>
      <w:marTop w:val="0"/>
      <w:marBottom w:val="0"/>
      <w:divBdr>
        <w:top w:val="none" w:sz="0" w:space="0" w:color="auto"/>
        <w:left w:val="none" w:sz="0" w:space="0" w:color="auto"/>
        <w:bottom w:val="none" w:sz="0" w:space="0" w:color="auto"/>
        <w:right w:val="none" w:sz="0" w:space="0" w:color="auto"/>
      </w:divBdr>
    </w:div>
    <w:div w:id="2077239756">
      <w:bodyDiv w:val="1"/>
      <w:marLeft w:val="0"/>
      <w:marRight w:val="0"/>
      <w:marTop w:val="0"/>
      <w:marBottom w:val="0"/>
      <w:divBdr>
        <w:top w:val="none" w:sz="0" w:space="0" w:color="auto"/>
        <w:left w:val="none" w:sz="0" w:space="0" w:color="auto"/>
        <w:bottom w:val="none" w:sz="0" w:space="0" w:color="auto"/>
        <w:right w:val="none" w:sz="0" w:space="0" w:color="auto"/>
      </w:divBdr>
    </w:div>
    <w:div w:id="2082479514">
      <w:bodyDiv w:val="1"/>
      <w:marLeft w:val="0"/>
      <w:marRight w:val="0"/>
      <w:marTop w:val="0"/>
      <w:marBottom w:val="0"/>
      <w:divBdr>
        <w:top w:val="none" w:sz="0" w:space="0" w:color="auto"/>
        <w:left w:val="none" w:sz="0" w:space="0" w:color="auto"/>
        <w:bottom w:val="none" w:sz="0" w:space="0" w:color="auto"/>
        <w:right w:val="none" w:sz="0" w:space="0" w:color="auto"/>
      </w:divBdr>
    </w:div>
    <w:div w:id="2095660261">
      <w:bodyDiv w:val="1"/>
      <w:marLeft w:val="0"/>
      <w:marRight w:val="0"/>
      <w:marTop w:val="0"/>
      <w:marBottom w:val="0"/>
      <w:divBdr>
        <w:top w:val="none" w:sz="0" w:space="0" w:color="auto"/>
        <w:left w:val="none" w:sz="0" w:space="0" w:color="auto"/>
        <w:bottom w:val="none" w:sz="0" w:space="0" w:color="auto"/>
        <w:right w:val="none" w:sz="0" w:space="0" w:color="auto"/>
      </w:divBdr>
    </w:div>
    <w:div w:id="2096243336">
      <w:bodyDiv w:val="1"/>
      <w:marLeft w:val="0"/>
      <w:marRight w:val="0"/>
      <w:marTop w:val="0"/>
      <w:marBottom w:val="0"/>
      <w:divBdr>
        <w:top w:val="none" w:sz="0" w:space="0" w:color="auto"/>
        <w:left w:val="none" w:sz="0" w:space="0" w:color="auto"/>
        <w:bottom w:val="none" w:sz="0" w:space="0" w:color="auto"/>
        <w:right w:val="none" w:sz="0" w:space="0" w:color="auto"/>
      </w:divBdr>
    </w:div>
    <w:div w:id="2096971307">
      <w:bodyDiv w:val="1"/>
      <w:marLeft w:val="0"/>
      <w:marRight w:val="0"/>
      <w:marTop w:val="0"/>
      <w:marBottom w:val="0"/>
      <w:divBdr>
        <w:top w:val="none" w:sz="0" w:space="0" w:color="auto"/>
        <w:left w:val="none" w:sz="0" w:space="0" w:color="auto"/>
        <w:bottom w:val="none" w:sz="0" w:space="0" w:color="auto"/>
        <w:right w:val="none" w:sz="0" w:space="0" w:color="auto"/>
      </w:divBdr>
    </w:div>
    <w:div w:id="2114935549">
      <w:bodyDiv w:val="1"/>
      <w:marLeft w:val="0"/>
      <w:marRight w:val="0"/>
      <w:marTop w:val="0"/>
      <w:marBottom w:val="0"/>
      <w:divBdr>
        <w:top w:val="none" w:sz="0" w:space="0" w:color="auto"/>
        <w:left w:val="none" w:sz="0" w:space="0" w:color="auto"/>
        <w:bottom w:val="none" w:sz="0" w:space="0" w:color="auto"/>
        <w:right w:val="none" w:sz="0" w:space="0" w:color="auto"/>
      </w:divBdr>
    </w:div>
    <w:div w:id="2118138850">
      <w:bodyDiv w:val="1"/>
      <w:marLeft w:val="0"/>
      <w:marRight w:val="0"/>
      <w:marTop w:val="0"/>
      <w:marBottom w:val="0"/>
      <w:divBdr>
        <w:top w:val="none" w:sz="0" w:space="0" w:color="auto"/>
        <w:left w:val="none" w:sz="0" w:space="0" w:color="auto"/>
        <w:bottom w:val="none" w:sz="0" w:space="0" w:color="auto"/>
        <w:right w:val="none" w:sz="0" w:space="0" w:color="auto"/>
      </w:divBdr>
    </w:div>
    <w:div w:id="2119521808">
      <w:bodyDiv w:val="1"/>
      <w:marLeft w:val="0"/>
      <w:marRight w:val="0"/>
      <w:marTop w:val="0"/>
      <w:marBottom w:val="0"/>
      <w:divBdr>
        <w:top w:val="none" w:sz="0" w:space="0" w:color="auto"/>
        <w:left w:val="none" w:sz="0" w:space="0" w:color="auto"/>
        <w:bottom w:val="none" w:sz="0" w:space="0" w:color="auto"/>
        <w:right w:val="none" w:sz="0" w:space="0" w:color="auto"/>
      </w:divBdr>
    </w:div>
    <w:div w:id="2126919947">
      <w:bodyDiv w:val="1"/>
      <w:marLeft w:val="0"/>
      <w:marRight w:val="0"/>
      <w:marTop w:val="0"/>
      <w:marBottom w:val="0"/>
      <w:divBdr>
        <w:top w:val="none" w:sz="0" w:space="0" w:color="auto"/>
        <w:left w:val="none" w:sz="0" w:space="0" w:color="auto"/>
        <w:bottom w:val="none" w:sz="0" w:space="0" w:color="auto"/>
        <w:right w:val="none" w:sz="0" w:space="0" w:color="auto"/>
      </w:divBdr>
    </w:div>
    <w:div w:id="214357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9BFC8-6444-4213-9D4E-391C81A0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9</Pages>
  <Words>6832</Words>
  <Characters>38946</Characters>
  <Application>Microsoft Office Word</Application>
  <DocSecurity>0</DocSecurity>
  <Lines>324</Lines>
  <Paragraphs>91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Tosun</dc:creator>
  <cp:keywords/>
  <dc:description/>
  <cp:lastModifiedBy>Hazal Babur</cp:lastModifiedBy>
  <cp:revision>956</cp:revision>
  <dcterms:created xsi:type="dcterms:W3CDTF">2025-07-15T18:44:00Z</dcterms:created>
  <dcterms:modified xsi:type="dcterms:W3CDTF">2026-07-01T13:18:00Z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5b7501f66d5c256a5e360786a13b4dc67819136f5e9a35ba9df3130370b2d582</vt:lpwstr>
  </property>
  <property fmtid="{D5CDD505-2E9C-101B-9397-08002B2CF9AE}" pid="3" name="ClassificationContentMarkingFooterShapeIds">
    <vt:lpwstr>168612de,6ff8819e,8f21ea2</vt:lpwstr>
  </property>
  <property fmtid="{D5CDD505-2E9C-101B-9397-08002B2CF9AE}" pid="4" name="ClassificationContentMarkingFooterFontProps">
    <vt:lpwstr>#000000,10,Calibri</vt:lpwstr>
  </property>
  <property fmtid="{D5CDD505-2E9C-101B-9397-08002B2CF9AE}" pid="5" name="ClassificationContentMarkingFooterText">
    <vt:lpwstr>Official Use Only</vt:lpwstr>
  </property>
  <property fmtid="{D5CDD505-2E9C-101B-9397-08002B2CF9AE}" pid="6" name="MSIP_Label_f1bf45b6-5649-4236-82a3-f45024cd282e_Enabled">
    <vt:lpwstr>true</vt:lpwstr>
  </property>
  <property fmtid="{D5CDD505-2E9C-101B-9397-08002B2CF9AE}" pid="7" name="MSIP_Label_f1bf45b6-5649-4236-82a3-f45024cd282e_SetDate">
    <vt:lpwstr>2025-09-01T09:09:25Z</vt:lpwstr>
  </property>
  <property fmtid="{D5CDD505-2E9C-101B-9397-08002B2CF9AE}" pid="8" name="MSIP_Label_f1bf45b6-5649-4236-82a3-f45024cd282e_Method">
    <vt:lpwstr>Standard</vt:lpwstr>
  </property>
  <property fmtid="{D5CDD505-2E9C-101B-9397-08002B2CF9AE}" pid="9" name="MSIP_Label_f1bf45b6-5649-4236-82a3-f45024cd282e_Name">
    <vt:lpwstr>Official Use Only</vt:lpwstr>
  </property>
  <property fmtid="{D5CDD505-2E9C-101B-9397-08002B2CF9AE}" pid="10" name="MSIP_Label_f1bf45b6-5649-4236-82a3-f45024cd282e_SiteId">
    <vt:lpwstr>31a2fec0-266b-4c67-b56e-2796d8f59c36</vt:lpwstr>
  </property>
  <property fmtid="{D5CDD505-2E9C-101B-9397-08002B2CF9AE}" pid="11" name="MSIP_Label_f1bf45b6-5649-4236-82a3-f45024cd282e_ActionId">
    <vt:lpwstr>e89731c3-6605-45d8-8876-c1c9df102b00</vt:lpwstr>
  </property>
  <property fmtid="{D5CDD505-2E9C-101B-9397-08002B2CF9AE}" pid="12" name="MSIP_Label_f1bf45b6-5649-4236-82a3-f45024cd282e_ContentBits">
    <vt:lpwstr>2</vt:lpwstr>
  </property>
  <property fmtid="{D5CDD505-2E9C-101B-9397-08002B2CF9AE}" pid="13" name="MSIP_Label_f1bf45b6-5649-4236-82a3-f45024cd282e_Tag">
    <vt:lpwstr>10, 3, 0, 1</vt:lpwstr>
  </property>
</Properties>
</file>